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37E1" w14:textId="228929FE" w:rsidR="00657FED" w:rsidRPr="00657FED" w:rsidRDefault="00657FED" w:rsidP="00657FED">
      <w:pPr>
        <w:pStyle w:val="BodyText"/>
        <w:ind w:left="1134" w:right="3427" w:hanging="12"/>
        <w:rPr>
          <w:b/>
          <w:bCs/>
          <w:lang w:val="en-US"/>
        </w:rPr>
      </w:pPr>
      <w:bookmarkStart w:id="0" w:name="_Hlk137769071"/>
      <w:r w:rsidRPr="00657FED">
        <w:rPr>
          <w:b/>
          <w:bCs/>
          <w:noProof/>
          <w:lang w:val="id-ID" w:eastAsia="id-ID"/>
        </w:rPr>
        <w:drawing>
          <wp:anchor distT="0" distB="0" distL="0" distR="0" simplePos="0" relativeHeight="251659264" behindDoc="0" locked="0" layoutInCell="1" allowOverlap="1" wp14:anchorId="3A49FA7C" wp14:editId="431B39FE">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r w:rsidRPr="00657FED">
        <w:rPr>
          <w:rFonts w:hint="eastAsia"/>
          <w:b/>
          <w:bCs/>
          <w:lang w:val="id-ID"/>
        </w:rPr>
        <w:t>INNOVATIVE: Journal Of Social Science Research</w:t>
      </w:r>
      <w:r w:rsidRPr="00657FED">
        <w:rPr>
          <w:rFonts w:hint="eastAsia"/>
          <w:b/>
          <w:bCs/>
          <w:spacing w:val="-63"/>
          <w:lang w:val="id-ID"/>
        </w:rPr>
        <w:t xml:space="preserve"> </w:t>
      </w:r>
      <w:r w:rsidRPr="00657FED">
        <w:rPr>
          <w:rFonts w:hint="eastAsia"/>
          <w:b/>
          <w:bCs/>
          <w:lang w:val="id-ID"/>
        </w:rPr>
        <w:t>Volume</w:t>
      </w:r>
      <w:r w:rsidRPr="00657FED">
        <w:rPr>
          <w:rFonts w:hint="eastAsia"/>
          <w:b/>
          <w:bCs/>
          <w:spacing w:val="-3"/>
          <w:lang w:val="id-ID"/>
        </w:rPr>
        <w:t xml:space="preserve"> </w:t>
      </w:r>
      <w:r w:rsidRPr="00657FED">
        <w:rPr>
          <w:rFonts w:hint="eastAsia"/>
          <w:b/>
          <w:bCs/>
          <w:lang w:val="id-ID"/>
        </w:rPr>
        <w:t>3</w:t>
      </w:r>
      <w:r w:rsidRPr="00657FED">
        <w:rPr>
          <w:rFonts w:hint="eastAsia"/>
          <w:b/>
          <w:bCs/>
          <w:spacing w:val="-2"/>
          <w:lang w:val="id-ID"/>
        </w:rPr>
        <w:t xml:space="preserve"> </w:t>
      </w:r>
      <w:r w:rsidRPr="00657FED">
        <w:rPr>
          <w:rFonts w:hint="eastAsia"/>
          <w:b/>
          <w:bCs/>
          <w:lang w:val="id-ID"/>
        </w:rPr>
        <w:t>Nomor</w:t>
      </w:r>
      <w:r w:rsidRPr="00657FED">
        <w:rPr>
          <w:rFonts w:hint="eastAsia"/>
          <w:b/>
          <w:bCs/>
          <w:spacing w:val="-1"/>
          <w:lang w:val="id-ID"/>
        </w:rPr>
        <w:t xml:space="preserve"> </w:t>
      </w:r>
      <w:r w:rsidR="00DE4EEB">
        <w:rPr>
          <w:b/>
          <w:bCs/>
          <w:lang w:val="en-US"/>
        </w:rPr>
        <w:t>6</w:t>
      </w:r>
      <w:r w:rsidRPr="00657FED">
        <w:rPr>
          <w:rFonts w:hint="eastAsia"/>
          <w:b/>
          <w:bCs/>
          <w:spacing w:val="-2"/>
          <w:lang w:val="id-ID"/>
        </w:rPr>
        <w:t xml:space="preserve"> </w:t>
      </w:r>
      <w:r w:rsidRPr="00657FED">
        <w:rPr>
          <w:rFonts w:hint="eastAsia"/>
          <w:b/>
          <w:bCs/>
          <w:lang w:val="id-ID"/>
        </w:rPr>
        <w:t>Tahun</w:t>
      </w:r>
      <w:r w:rsidRPr="00657FED">
        <w:rPr>
          <w:rFonts w:hint="eastAsia"/>
          <w:b/>
          <w:bCs/>
          <w:spacing w:val="-3"/>
          <w:lang w:val="id-ID"/>
        </w:rPr>
        <w:t xml:space="preserve"> </w:t>
      </w:r>
      <w:r w:rsidRPr="00657FED">
        <w:rPr>
          <w:rFonts w:hint="eastAsia"/>
          <w:b/>
          <w:bCs/>
          <w:lang w:val="id-ID"/>
        </w:rPr>
        <w:t>2023</w:t>
      </w:r>
      <w:r w:rsidRPr="00657FED">
        <w:rPr>
          <w:rFonts w:hint="eastAsia"/>
          <w:b/>
          <w:bCs/>
          <w:spacing w:val="-2"/>
          <w:lang w:val="id-ID"/>
        </w:rPr>
        <w:t xml:space="preserve"> </w:t>
      </w:r>
      <w:r w:rsidRPr="00657FED">
        <w:rPr>
          <w:rFonts w:hint="eastAsia"/>
          <w:b/>
          <w:bCs/>
          <w:lang w:val="id-ID"/>
        </w:rPr>
        <w:t>Page</w:t>
      </w:r>
      <w:r w:rsidRPr="00657FED">
        <w:rPr>
          <w:rFonts w:hint="eastAsia"/>
          <w:b/>
          <w:bCs/>
          <w:spacing w:val="5"/>
          <w:lang w:val="id-ID"/>
        </w:rPr>
        <w:t xml:space="preserve"> </w:t>
      </w:r>
      <w:r w:rsidRPr="00657FED">
        <w:rPr>
          <w:b/>
          <w:bCs/>
          <w:lang w:val="en-US"/>
        </w:rPr>
        <w:t>1</w:t>
      </w:r>
      <w:r w:rsidR="00DE4EEB">
        <w:rPr>
          <w:b/>
          <w:bCs/>
          <w:lang w:val="en-US"/>
        </w:rPr>
        <w:t>035-1045</w:t>
      </w:r>
    </w:p>
    <w:p w14:paraId="22E46ED5" w14:textId="77777777" w:rsidR="00657FED" w:rsidRPr="00657FED" w:rsidRDefault="00657FED" w:rsidP="00657FED">
      <w:pPr>
        <w:pStyle w:val="BodyText"/>
        <w:ind w:left="1134"/>
        <w:rPr>
          <w:b/>
          <w:bCs/>
          <w:lang w:val="id-ID"/>
        </w:rPr>
      </w:pPr>
      <w:r w:rsidRPr="00657FED">
        <w:rPr>
          <w:rFonts w:hint="eastAsia"/>
          <w:b/>
          <w:bCs/>
          <w:lang w:val="id-ID"/>
        </w:rPr>
        <w:t>E-ISSN</w:t>
      </w:r>
      <w:r w:rsidRPr="00657FED">
        <w:rPr>
          <w:rFonts w:hint="eastAsia"/>
          <w:b/>
          <w:bCs/>
          <w:spacing w:val="-2"/>
          <w:lang w:val="id-ID"/>
        </w:rPr>
        <w:t xml:space="preserve"> </w:t>
      </w:r>
      <w:r w:rsidRPr="00657FED">
        <w:rPr>
          <w:rFonts w:hint="eastAsia"/>
          <w:b/>
          <w:bCs/>
          <w:lang w:val="id-ID"/>
        </w:rPr>
        <w:t>2807-4238</w:t>
      </w:r>
      <w:r w:rsidRPr="00657FED">
        <w:rPr>
          <w:rFonts w:hint="eastAsia"/>
          <w:b/>
          <w:bCs/>
          <w:spacing w:val="-2"/>
          <w:lang w:val="id-ID"/>
        </w:rPr>
        <w:t xml:space="preserve"> </w:t>
      </w:r>
      <w:r w:rsidRPr="00657FED">
        <w:rPr>
          <w:rFonts w:hint="eastAsia"/>
          <w:b/>
          <w:bCs/>
          <w:lang w:val="id-ID"/>
        </w:rPr>
        <w:t>and</w:t>
      </w:r>
      <w:r w:rsidRPr="00657FED">
        <w:rPr>
          <w:rFonts w:hint="eastAsia"/>
          <w:b/>
          <w:bCs/>
          <w:spacing w:val="-1"/>
          <w:lang w:val="id-ID"/>
        </w:rPr>
        <w:t xml:space="preserve"> </w:t>
      </w:r>
      <w:r w:rsidRPr="00657FED">
        <w:rPr>
          <w:rFonts w:hint="eastAsia"/>
          <w:b/>
          <w:bCs/>
          <w:lang w:val="id-ID"/>
        </w:rPr>
        <w:t>P-ISSN</w:t>
      </w:r>
      <w:r w:rsidRPr="00657FED">
        <w:rPr>
          <w:rFonts w:hint="eastAsia"/>
          <w:b/>
          <w:bCs/>
          <w:spacing w:val="-2"/>
          <w:lang w:val="id-ID"/>
        </w:rPr>
        <w:t xml:space="preserve"> </w:t>
      </w:r>
      <w:r w:rsidRPr="00657FED">
        <w:rPr>
          <w:rFonts w:hint="eastAsia"/>
          <w:b/>
          <w:bCs/>
          <w:lang w:val="id-ID"/>
        </w:rPr>
        <w:t>2807-4246</w:t>
      </w:r>
    </w:p>
    <w:p w14:paraId="307CAEC8" w14:textId="77777777" w:rsidR="00657FED" w:rsidRPr="00657FED" w:rsidRDefault="00657FED" w:rsidP="00657FED">
      <w:pPr>
        <w:pStyle w:val="BodyText"/>
        <w:ind w:left="1134"/>
        <w:rPr>
          <w:rStyle w:val="Hyperlink"/>
          <w:b/>
          <w:bCs/>
          <w:color w:val="0070C0"/>
        </w:rPr>
      </w:pPr>
      <w:r w:rsidRPr="00657FED">
        <w:rPr>
          <w:rFonts w:hint="eastAsia"/>
          <w:b/>
          <w:bCs/>
          <w:lang w:val="id-ID"/>
        </w:rPr>
        <w:t>Website:</w:t>
      </w:r>
      <w:r w:rsidRPr="00657FED">
        <w:rPr>
          <w:rFonts w:hint="eastAsia"/>
          <w:b/>
          <w:bCs/>
          <w:spacing w:val="-8"/>
          <w:lang w:val="id-ID"/>
        </w:rPr>
        <w:t xml:space="preserve"> </w:t>
      </w:r>
      <w:hyperlink r:id="rId9" w:history="1">
        <w:r w:rsidRPr="00657FED">
          <w:rPr>
            <w:rStyle w:val="Hyperlink"/>
            <w:rFonts w:hint="eastAsia"/>
            <w:b/>
            <w:bCs/>
            <w:color w:val="0070C0"/>
          </w:rPr>
          <w:t>https://</w:t>
        </w:r>
      </w:hyperlink>
      <w:hyperlink r:id="rId10" w:history="1">
        <w:r w:rsidRPr="00657FED">
          <w:rPr>
            <w:rStyle w:val="Hyperlink"/>
            <w:rFonts w:hint="eastAsia"/>
            <w:b/>
            <w:bCs/>
            <w:color w:val="0070C0"/>
          </w:rPr>
          <w:t>j-</w:t>
        </w:r>
      </w:hyperlink>
      <w:hyperlink r:id="rId11" w:history="1">
        <w:r w:rsidRPr="00657FED">
          <w:rPr>
            <w:rStyle w:val="Hyperlink"/>
            <w:rFonts w:hint="eastAsia"/>
            <w:b/>
            <w:bCs/>
            <w:color w:val="0070C0"/>
          </w:rPr>
          <w:t>innovative.org/index.php/Innovative</w:t>
        </w:r>
      </w:hyperlink>
    </w:p>
    <w:bookmarkEnd w:id="0"/>
    <w:p w14:paraId="480C0EC8" w14:textId="77777777" w:rsidR="0066236E" w:rsidRPr="00657FED" w:rsidRDefault="0066236E" w:rsidP="00657FED">
      <w:pPr>
        <w:pBdr>
          <w:top w:val="nil"/>
          <w:left w:val="nil"/>
          <w:bottom w:val="nil"/>
          <w:right w:val="nil"/>
          <w:between w:val="nil"/>
        </w:pBdr>
        <w:rPr>
          <w:color w:val="000000"/>
          <w:sz w:val="20"/>
          <w:szCs w:val="20"/>
        </w:rPr>
      </w:pPr>
    </w:p>
    <w:p w14:paraId="119FFC0E" w14:textId="77777777" w:rsidR="0066236E" w:rsidRPr="00657FED" w:rsidRDefault="0066236E" w:rsidP="00657FED">
      <w:pPr>
        <w:pBdr>
          <w:top w:val="nil"/>
          <w:left w:val="nil"/>
          <w:bottom w:val="nil"/>
          <w:right w:val="nil"/>
          <w:between w:val="nil"/>
        </w:pBdr>
        <w:rPr>
          <w:color w:val="000000"/>
          <w:sz w:val="13"/>
          <w:szCs w:val="13"/>
        </w:rPr>
      </w:pPr>
    </w:p>
    <w:p w14:paraId="0D6AC302" w14:textId="08223748" w:rsidR="0066236E" w:rsidRDefault="00657FED" w:rsidP="00657FED">
      <w:pPr>
        <w:pStyle w:val="Heading1"/>
        <w:spacing w:before="0"/>
        <w:ind w:left="0" w:right="0"/>
        <w:jc w:val="center"/>
        <w:rPr>
          <w:rFonts w:cs="Times New Roman"/>
          <w:sz w:val="32"/>
          <w:szCs w:val="32"/>
        </w:rPr>
      </w:pPr>
      <w:bookmarkStart w:id="1" w:name="_heading=h.scto5yh8momf" w:colFirst="0" w:colLast="0"/>
      <w:bookmarkEnd w:id="1"/>
      <w:r w:rsidRPr="00657FED">
        <w:rPr>
          <w:rFonts w:cs="Arial"/>
          <w:b/>
          <w:sz w:val="28"/>
          <w:szCs w:val="28"/>
          <w:lang w:val="en-US"/>
        </w:rPr>
        <w:t>Pengambilalihan Perusahaan Penanaman Modal Asing Menurut Ketentuan Undang-Undang Nomor 25 Tahun 2007 Tentang Penanaman Modal</w:t>
      </w:r>
      <w:bookmarkStart w:id="2" w:name="_heading=h.3inujn6uuj5" w:colFirst="0" w:colLast="0"/>
      <w:bookmarkEnd w:id="2"/>
      <w:r w:rsidRPr="00657FED">
        <w:rPr>
          <w:rFonts w:cs="Times New Roman"/>
          <w:sz w:val="32"/>
          <w:szCs w:val="32"/>
        </w:rPr>
        <w:t xml:space="preserve">  </w:t>
      </w:r>
    </w:p>
    <w:p w14:paraId="23AF7C28" w14:textId="77777777" w:rsidR="00657FED" w:rsidRPr="00657FED" w:rsidRDefault="00657FED" w:rsidP="00657FED">
      <w:pPr>
        <w:pStyle w:val="Heading1"/>
        <w:spacing w:before="0"/>
        <w:ind w:left="0" w:right="0"/>
        <w:jc w:val="center"/>
        <w:rPr>
          <w:rFonts w:cs="Arial"/>
          <w:b/>
          <w:sz w:val="28"/>
          <w:szCs w:val="28"/>
          <w:lang w:val="en-US"/>
        </w:rPr>
      </w:pPr>
    </w:p>
    <w:p w14:paraId="7E121C33" w14:textId="18083D31" w:rsidR="00657FED" w:rsidRPr="00657FED" w:rsidRDefault="00CC6454" w:rsidP="00657FED">
      <w:pPr>
        <w:pBdr>
          <w:top w:val="nil"/>
          <w:left w:val="nil"/>
          <w:bottom w:val="nil"/>
          <w:right w:val="nil"/>
          <w:between w:val="nil"/>
        </w:pBdr>
        <w:jc w:val="center"/>
        <w:rPr>
          <w:b/>
          <w:bCs/>
          <w:color w:val="000000"/>
          <w:sz w:val="24"/>
          <w:szCs w:val="24"/>
          <w:lang w:val="en-US"/>
        </w:rPr>
      </w:pPr>
      <w:r w:rsidRPr="00657FED">
        <w:rPr>
          <w:b/>
          <w:bCs/>
          <w:sz w:val="24"/>
          <w:szCs w:val="24"/>
          <w:lang w:val="en-US"/>
        </w:rPr>
        <w:t>Yeni Triana</w:t>
      </w:r>
      <w:r w:rsidR="00657FED">
        <w:rPr>
          <w:bCs/>
          <w:w w:val="95"/>
          <w:position w:val="18"/>
          <w:sz w:val="14"/>
        </w:rPr>
        <w:t>1</w:t>
      </w:r>
      <w:r w:rsidR="00657FED" w:rsidRPr="00ED6DF8">
        <w:rPr>
          <w:rFonts w:ascii="Segoe UI Symbol" w:hAnsi="Segoe UI Symbol"/>
          <w:bCs/>
          <w:w w:val="95"/>
          <w:position w:val="17"/>
          <w:sz w:val="16"/>
          <w:lang w:val="id-ID"/>
        </w:rPr>
        <w:t>✉</w:t>
      </w:r>
      <w:r w:rsidR="002B2802" w:rsidRPr="00657FED">
        <w:rPr>
          <w:b/>
          <w:bCs/>
          <w:color w:val="000000"/>
          <w:sz w:val="24"/>
          <w:szCs w:val="24"/>
        </w:rPr>
        <w:t xml:space="preserve">, </w:t>
      </w:r>
      <w:r w:rsidRPr="00657FED">
        <w:rPr>
          <w:b/>
          <w:bCs/>
          <w:color w:val="000000"/>
          <w:sz w:val="24"/>
          <w:szCs w:val="24"/>
          <w:lang w:val="en-US"/>
        </w:rPr>
        <w:t xml:space="preserve">M. </w:t>
      </w:r>
      <w:proofErr w:type="spellStart"/>
      <w:r w:rsidRPr="00657FED">
        <w:rPr>
          <w:b/>
          <w:bCs/>
          <w:color w:val="000000"/>
          <w:sz w:val="24"/>
          <w:szCs w:val="24"/>
          <w:lang w:val="en-US"/>
        </w:rPr>
        <w:t>Dio</w:t>
      </w:r>
      <w:proofErr w:type="spellEnd"/>
      <w:r w:rsidRPr="00657FED">
        <w:rPr>
          <w:b/>
          <w:bCs/>
          <w:color w:val="000000"/>
          <w:sz w:val="24"/>
          <w:szCs w:val="24"/>
          <w:lang w:val="en-US"/>
        </w:rPr>
        <w:t xml:space="preserve"> Asmara</w:t>
      </w:r>
      <w:r w:rsidR="002B2802" w:rsidRPr="00657FED">
        <w:rPr>
          <w:b/>
          <w:bCs/>
          <w:color w:val="000000"/>
          <w:sz w:val="24"/>
          <w:szCs w:val="24"/>
          <w:vertAlign w:val="superscript"/>
        </w:rPr>
        <w:t>2</w:t>
      </w:r>
      <w:r w:rsidR="00657FED">
        <w:rPr>
          <w:b/>
          <w:bCs/>
          <w:color w:val="000000"/>
          <w:sz w:val="24"/>
          <w:szCs w:val="24"/>
          <w:vertAlign w:val="superscript"/>
          <w:lang w:val="en-US"/>
        </w:rPr>
        <w:t xml:space="preserve"> </w:t>
      </w:r>
      <w:r w:rsidR="002B2802" w:rsidRPr="00657FED">
        <w:rPr>
          <w:b/>
          <w:bCs/>
          <w:sz w:val="24"/>
          <w:szCs w:val="24"/>
        </w:rPr>
        <w:t xml:space="preserve">, </w:t>
      </w:r>
      <w:r w:rsidRPr="00657FED">
        <w:rPr>
          <w:b/>
          <w:bCs/>
          <w:sz w:val="24"/>
          <w:szCs w:val="24"/>
          <w:lang w:val="en-US"/>
        </w:rPr>
        <w:t xml:space="preserve">Erick Kripton </w:t>
      </w:r>
      <w:proofErr w:type="spellStart"/>
      <w:r w:rsidRPr="00657FED">
        <w:rPr>
          <w:b/>
          <w:bCs/>
          <w:sz w:val="24"/>
          <w:szCs w:val="24"/>
          <w:lang w:val="en-US"/>
        </w:rPr>
        <w:t>Siburian</w:t>
      </w:r>
      <w:proofErr w:type="spellEnd"/>
      <w:r w:rsidR="002B2802" w:rsidRPr="00657FED">
        <w:rPr>
          <w:b/>
          <w:bCs/>
          <w:sz w:val="24"/>
          <w:szCs w:val="24"/>
          <w:vertAlign w:val="superscript"/>
        </w:rPr>
        <w:t>3</w:t>
      </w:r>
      <w:r w:rsidRPr="00657FED">
        <w:rPr>
          <w:b/>
          <w:bCs/>
          <w:sz w:val="24"/>
          <w:szCs w:val="24"/>
          <w:lang w:val="en-US"/>
        </w:rPr>
        <w:t xml:space="preserve"> </w:t>
      </w:r>
      <w:r w:rsidR="00657FED">
        <w:rPr>
          <w:b/>
          <w:bCs/>
          <w:sz w:val="24"/>
          <w:szCs w:val="24"/>
          <w:lang w:val="en-US"/>
        </w:rPr>
        <w:t xml:space="preserve">, </w:t>
      </w:r>
      <w:r w:rsidRPr="00657FED">
        <w:rPr>
          <w:b/>
          <w:bCs/>
          <w:sz w:val="24"/>
          <w:szCs w:val="24"/>
          <w:lang w:val="en-US"/>
        </w:rPr>
        <w:t>M. Hatta</w:t>
      </w:r>
      <w:r w:rsidRPr="00657FED">
        <w:rPr>
          <w:b/>
          <w:bCs/>
          <w:sz w:val="24"/>
          <w:szCs w:val="24"/>
          <w:vertAlign w:val="superscript"/>
          <w:lang w:val="en-US"/>
        </w:rPr>
        <w:t>4</w:t>
      </w:r>
      <w:r w:rsidRPr="00657FED">
        <w:rPr>
          <w:b/>
          <w:bCs/>
          <w:sz w:val="24"/>
          <w:szCs w:val="24"/>
          <w:lang w:val="en-US"/>
        </w:rPr>
        <w:t xml:space="preserve"> </w:t>
      </w:r>
      <w:r w:rsidR="00657FED">
        <w:rPr>
          <w:b/>
          <w:bCs/>
          <w:sz w:val="24"/>
          <w:szCs w:val="24"/>
          <w:lang w:val="en-US"/>
        </w:rPr>
        <w:t xml:space="preserve">, </w:t>
      </w:r>
      <w:r w:rsidRPr="00657FED">
        <w:rPr>
          <w:b/>
          <w:bCs/>
          <w:sz w:val="24"/>
          <w:szCs w:val="24"/>
          <w:lang w:val="en-US"/>
        </w:rPr>
        <w:t>Ardiansyah</w:t>
      </w:r>
      <w:r w:rsidRPr="00657FED">
        <w:rPr>
          <w:b/>
          <w:bCs/>
          <w:sz w:val="24"/>
          <w:szCs w:val="24"/>
          <w:vertAlign w:val="superscript"/>
          <w:lang w:val="en-US"/>
        </w:rPr>
        <w:t>5</w:t>
      </w:r>
      <w:r w:rsidRPr="00657FED">
        <w:rPr>
          <w:b/>
          <w:bCs/>
          <w:sz w:val="24"/>
          <w:szCs w:val="24"/>
          <w:lang w:val="en-US"/>
        </w:rPr>
        <w:t xml:space="preserve"> </w:t>
      </w:r>
      <w:r w:rsidR="00657FED">
        <w:rPr>
          <w:b/>
          <w:bCs/>
          <w:sz w:val="24"/>
          <w:szCs w:val="24"/>
          <w:lang w:val="en-US"/>
        </w:rPr>
        <w:t xml:space="preserve">, </w:t>
      </w:r>
      <w:r w:rsidRPr="00657FED">
        <w:rPr>
          <w:b/>
          <w:bCs/>
          <w:sz w:val="24"/>
          <w:szCs w:val="24"/>
          <w:lang w:val="en-US"/>
        </w:rPr>
        <w:t>Dede Putra</w:t>
      </w:r>
      <w:r w:rsidRPr="00657FED">
        <w:rPr>
          <w:b/>
          <w:bCs/>
          <w:sz w:val="24"/>
          <w:szCs w:val="24"/>
          <w:vertAlign w:val="superscript"/>
          <w:lang w:val="en-US"/>
        </w:rPr>
        <w:t>6</w:t>
      </w:r>
    </w:p>
    <w:p w14:paraId="7C565249" w14:textId="083A32F3" w:rsidR="00657FED" w:rsidRDefault="00CC6454" w:rsidP="00657FED">
      <w:pPr>
        <w:pBdr>
          <w:top w:val="nil"/>
          <w:left w:val="nil"/>
          <w:bottom w:val="nil"/>
          <w:right w:val="nil"/>
          <w:between w:val="nil"/>
        </w:pBdr>
        <w:jc w:val="center"/>
        <w:rPr>
          <w:b/>
          <w:color w:val="000000"/>
          <w:sz w:val="24"/>
          <w:szCs w:val="24"/>
          <w:lang w:val="en-US"/>
        </w:rPr>
      </w:pPr>
      <w:r w:rsidRPr="00657FED">
        <w:rPr>
          <w:sz w:val="24"/>
          <w:szCs w:val="24"/>
          <w:lang w:val="en-US"/>
        </w:rPr>
        <w:t>Ilmu Hukum, Universitas Lancang Kunin</w:t>
      </w:r>
      <w:r w:rsidR="00657FED">
        <w:rPr>
          <w:sz w:val="24"/>
          <w:szCs w:val="24"/>
          <w:lang w:val="en-US"/>
        </w:rPr>
        <w:t>g</w:t>
      </w:r>
    </w:p>
    <w:p w14:paraId="6E0ABAC4" w14:textId="7FE71C74" w:rsidR="0066236E" w:rsidRPr="00657FED" w:rsidRDefault="00000000" w:rsidP="00657FED">
      <w:pPr>
        <w:pBdr>
          <w:top w:val="nil"/>
          <w:left w:val="nil"/>
          <w:bottom w:val="nil"/>
          <w:right w:val="nil"/>
          <w:between w:val="nil"/>
        </w:pBdr>
        <w:jc w:val="center"/>
        <w:rPr>
          <w:b/>
          <w:color w:val="000000"/>
          <w:sz w:val="24"/>
          <w:szCs w:val="24"/>
          <w:lang w:val="en-US"/>
        </w:rPr>
      </w:pPr>
      <w:hyperlink r:id="rId12">
        <w:r w:rsidR="002B2802" w:rsidRPr="00657FED">
          <w:rPr>
            <w:color w:val="000000" w:themeColor="text1"/>
            <w:sz w:val="24"/>
            <w:szCs w:val="24"/>
          </w:rPr>
          <w:t>Email</w:t>
        </w:r>
        <w:r w:rsidR="00CC6454" w:rsidRPr="00657FED">
          <w:rPr>
            <w:color w:val="000000" w:themeColor="text1"/>
            <w:sz w:val="24"/>
            <w:szCs w:val="24"/>
            <w:lang w:val="en-US"/>
          </w:rPr>
          <w:t>:</w:t>
        </w:r>
        <w:r w:rsidR="00657FED">
          <w:rPr>
            <w:color w:val="000000" w:themeColor="text1"/>
            <w:sz w:val="24"/>
            <w:szCs w:val="24"/>
            <w:lang w:val="en-US"/>
          </w:rPr>
          <w:t xml:space="preserve"> </w:t>
        </w:r>
        <w:r w:rsidR="00CC6454" w:rsidRPr="00657FED">
          <w:rPr>
            <w:color w:val="0070C0"/>
            <w:sz w:val="24"/>
            <w:szCs w:val="24"/>
            <w:lang w:val="en-US"/>
          </w:rPr>
          <w:t>bianconeri1996@gmail.com</w:t>
        </w:r>
      </w:hyperlink>
      <w:r w:rsidR="00657FED" w:rsidRPr="00657FED">
        <w:rPr>
          <w:bCs/>
          <w:color w:val="0070C0"/>
          <w:w w:val="95"/>
          <w:position w:val="18"/>
          <w:sz w:val="14"/>
        </w:rPr>
        <w:t>1</w:t>
      </w:r>
      <w:r w:rsidR="00657FED" w:rsidRPr="00657FED">
        <w:rPr>
          <w:rFonts w:ascii="Segoe UI Symbol" w:hAnsi="Segoe UI Symbol"/>
          <w:bCs/>
          <w:color w:val="0070C0"/>
          <w:w w:val="95"/>
          <w:position w:val="17"/>
          <w:sz w:val="16"/>
          <w:lang w:val="id-ID"/>
        </w:rPr>
        <w:t>✉</w:t>
      </w:r>
    </w:p>
    <w:p w14:paraId="2CABF29B" w14:textId="77777777" w:rsidR="0066236E" w:rsidRPr="00657FED" w:rsidRDefault="0066236E" w:rsidP="00657FED">
      <w:pPr>
        <w:pBdr>
          <w:top w:val="nil"/>
          <w:left w:val="nil"/>
          <w:bottom w:val="nil"/>
          <w:right w:val="nil"/>
          <w:between w:val="nil"/>
        </w:pBdr>
        <w:ind w:left="3042" w:right="3042"/>
        <w:jc w:val="center"/>
        <w:rPr>
          <w:color w:val="000000"/>
          <w:sz w:val="24"/>
          <w:szCs w:val="24"/>
        </w:rPr>
      </w:pPr>
    </w:p>
    <w:tbl>
      <w:tblPr>
        <w:tblStyle w:val="a"/>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0"/>
      </w:tblGrid>
      <w:tr w:rsidR="0066236E" w:rsidRPr="00657FED" w14:paraId="6FE36084" w14:textId="77777777">
        <w:tc>
          <w:tcPr>
            <w:tcW w:w="9730" w:type="dxa"/>
          </w:tcPr>
          <w:p w14:paraId="63105DA6" w14:textId="31E35106" w:rsidR="0066236E" w:rsidRPr="00657FED" w:rsidRDefault="00657FED" w:rsidP="00657FED">
            <w:pPr>
              <w:pStyle w:val="Heading1"/>
              <w:spacing w:before="0"/>
              <w:ind w:left="0" w:right="0"/>
              <w:jc w:val="center"/>
              <w:rPr>
                <w:rFonts w:cs="Arial"/>
                <w:b/>
                <w:sz w:val="22"/>
                <w:szCs w:val="22"/>
              </w:rPr>
            </w:pPr>
            <w:bookmarkStart w:id="3" w:name="_heading=h.ihc0j31d92b" w:colFirst="0" w:colLast="0"/>
            <w:bookmarkEnd w:id="3"/>
            <w:r w:rsidRPr="00657FED">
              <w:rPr>
                <w:rFonts w:cs="Arial"/>
                <w:b/>
                <w:sz w:val="22"/>
                <w:szCs w:val="22"/>
              </w:rPr>
              <w:t>Abstrak</w:t>
            </w:r>
          </w:p>
          <w:p w14:paraId="05E59FC5" w14:textId="3DA09F9F" w:rsidR="0066236E" w:rsidRPr="00657FED" w:rsidRDefault="007A382D" w:rsidP="00657FED">
            <w:pPr>
              <w:jc w:val="both"/>
              <w:rPr>
                <w:rFonts w:cs="Arial"/>
                <w:bCs/>
              </w:rPr>
            </w:pPr>
            <w:r w:rsidRPr="00657FED">
              <w:rPr>
                <w:rFonts w:cs="Arial"/>
                <w:bCs/>
              </w:rPr>
              <w:t>Pembangunan ekonomi dan kesejahteraan merupakan kebutuhan dalam rangka pembangunan nasional dan membawa Negara Indonesia ke dalam suatu alternatif pilihan, yaitu membangun dan mendatangkan modal asing, wajib berbentuk perseroan terbatas dengan status perusahaan berbadan hukum di Indonesia.Pasal 7 Undang-Undang Nomor 25 Tahun 2007 membahas tentang pemerintah tidak akan melakukan tindakan nasionalisasi atau pengambilalihan hak kepemilikan penanam modal, kecuali dengan Undang-Undang. Penelitian ini berfokus pada bagaimana nasionalisasi, pengambilalihan dan perlindungan hukum investor terhadap perusahaan penanaman modal asing. Metode penelitian menggunakan penelitian hukum normatif, penelitian dengan cara meneliti bahan Pustaka atau data sekunder. Hasil penelitian ini bahwa dengan adanya UU No. 25 Tahun 2007 pengambilalihan perusahaan asing tidak akan dilakukan yang tercantum dalam pasal 7 bila terjadi pengambilalihan akan diikuti kompensasi sesuai harga pasar internasional dan bila tidak mendapat kesepakatan kompensasi maka penyelesaian sengketa investasi akan dibawa pada Lembaga arbitrase. Perlindungan hukum investor terhadap pengambilalihan perusahan penanaman modal asing di Indonesia, salah satunya dengan membuat perjanjian bilateral yang berbentuk perjanjian investasi dengan berbagai negara asal investor.</w:t>
            </w:r>
          </w:p>
          <w:p w14:paraId="1B99A1DD" w14:textId="78A82C7E" w:rsidR="0066236E" w:rsidRPr="00657FED" w:rsidRDefault="002B2802" w:rsidP="00657FED">
            <w:pPr>
              <w:pBdr>
                <w:top w:val="nil"/>
                <w:left w:val="nil"/>
                <w:bottom w:val="nil"/>
                <w:right w:val="nil"/>
                <w:between w:val="nil"/>
              </w:pBdr>
              <w:ind w:right="190"/>
              <w:jc w:val="both"/>
              <w:rPr>
                <w:rFonts w:cs="Arial"/>
                <w:bCs/>
              </w:rPr>
            </w:pPr>
            <w:r w:rsidRPr="00657FED">
              <w:rPr>
                <w:rFonts w:cs="Arial"/>
                <w:b/>
              </w:rPr>
              <w:t>Kata Kunci:</w:t>
            </w:r>
            <w:r w:rsidRPr="00657FED">
              <w:rPr>
                <w:rFonts w:cs="Arial"/>
                <w:bCs/>
              </w:rPr>
              <w:t xml:space="preserve"> </w:t>
            </w:r>
            <w:r w:rsidR="007A382D" w:rsidRPr="00657FED">
              <w:rPr>
                <w:rFonts w:cs="Arial"/>
                <w:bCs/>
                <w:i/>
                <w:iCs/>
                <w:color w:val="000000"/>
                <w:lang w:val="fi-FI"/>
              </w:rPr>
              <w:t>Penanaman Modal Asing, Pengambilalihan, Nasionalisasi.</w:t>
            </w:r>
          </w:p>
        </w:tc>
      </w:tr>
    </w:tbl>
    <w:p w14:paraId="00FAAD5E" w14:textId="66BFD9C7" w:rsidR="0066236E" w:rsidRDefault="0066236E" w:rsidP="00657FED"/>
    <w:p w14:paraId="691298CF" w14:textId="097D1E29" w:rsidR="00657FED" w:rsidRDefault="00657FED" w:rsidP="00657FED"/>
    <w:p w14:paraId="1FFAC005" w14:textId="71A55156" w:rsidR="00657FED" w:rsidRDefault="00657FED" w:rsidP="00657FED"/>
    <w:p w14:paraId="6E2E420E" w14:textId="7FA90FFD" w:rsidR="00657FED" w:rsidRDefault="00657FED" w:rsidP="00657FED"/>
    <w:p w14:paraId="13D75553" w14:textId="46F100BB" w:rsidR="00657FED" w:rsidRDefault="00657FED" w:rsidP="00657FED"/>
    <w:p w14:paraId="26B5ECE3" w14:textId="2C4D89F9" w:rsidR="00657FED" w:rsidRDefault="00657FED" w:rsidP="00657FED"/>
    <w:p w14:paraId="35B2D034" w14:textId="77777777" w:rsidR="00657FED" w:rsidRPr="00657FED" w:rsidRDefault="00657FED" w:rsidP="00657FED"/>
    <w:tbl>
      <w:tblPr>
        <w:tblStyle w:val="a0"/>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0"/>
      </w:tblGrid>
      <w:tr w:rsidR="0066236E" w:rsidRPr="00657FED" w14:paraId="32F5DBFE" w14:textId="77777777">
        <w:tc>
          <w:tcPr>
            <w:tcW w:w="9730" w:type="dxa"/>
          </w:tcPr>
          <w:p w14:paraId="2BD99F54" w14:textId="77777777" w:rsidR="0066236E" w:rsidRPr="00657FED" w:rsidRDefault="002B2802" w:rsidP="00657FED">
            <w:pPr>
              <w:pBdr>
                <w:top w:val="nil"/>
                <w:left w:val="nil"/>
                <w:bottom w:val="nil"/>
                <w:right w:val="nil"/>
                <w:between w:val="nil"/>
              </w:pBdr>
              <w:ind w:left="3042" w:right="3042"/>
              <w:jc w:val="center"/>
              <w:rPr>
                <w:b/>
                <w:color w:val="000000"/>
              </w:rPr>
            </w:pPr>
            <w:r w:rsidRPr="00657FED">
              <w:rPr>
                <w:b/>
                <w:color w:val="000000"/>
              </w:rPr>
              <w:lastRenderedPageBreak/>
              <w:t>Abstract</w:t>
            </w:r>
          </w:p>
          <w:p w14:paraId="2050E3AF" w14:textId="77777777" w:rsidR="007A382D" w:rsidRPr="00657FED" w:rsidRDefault="007A382D" w:rsidP="00657FED">
            <w:pPr>
              <w:jc w:val="both"/>
              <w:rPr>
                <w:rFonts w:cs="Arial"/>
                <w:bCs/>
                <w:lang w:val="en"/>
              </w:rPr>
            </w:pPr>
            <w:r w:rsidRPr="00657FED">
              <w:rPr>
                <w:rFonts w:cs="Arial"/>
                <w:bCs/>
                <w:lang w:val="en"/>
              </w:rPr>
              <w:t>Economic development and welfare are needs in the framework of national development and bring the State of Indonesia into an alternative choice, namely building and bringing in foreign capital, must be in the form of a limited liability company with the status of a legal entity in Indonesia. Article 7 of Law Number 25 of 2007 discusses that the government will not carry out nationalization actions or take over the ownership rights of investors, except by Law. This research focuses on how nationalization, expropriation and legal protection of investors against foreign investment companies. The research method uses normative legal research, research by examining library materials or secondary data. The result of this study is that with the existence of Law No. 25 of 2007, the takeover of foreign companies will not be carried out as stated in article 7, in the event of a takeover, compensation will be followed by compensation according to international market prices and if compensation is not obtained, the settlement of investment disputes will be brought to the arbitration institution. Legal protection of investors against takeover of foreign investment companies in Indonesia, one of which is by making bilateral agreements in the form of investment agreements with various countries of origin of investors.</w:t>
            </w:r>
          </w:p>
          <w:p w14:paraId="720B34CF" w14:textId="55063CAA" w:rsidR="0066236E" w:rsidRPr="00657FED" w:rsidRDefault="002B2802" w:rsidP="00657FED">
            <w:pPr>
              <w:rPr>
                <w:rFonts w:cs="Arial"/>
                <w:bCs/>
              </w:rPr>
            </w:pPr>
            <w:r w:rsidRPr="00657FED">
              <w:rPr>
                <w:rFonts w:cs="Arial"/>
                <w:b/>
              </w:rPr>
              <w:t>Keyword:</w:t>
            </w:r>
            <w:r w:rsidRPr="00657FED">
              <w:rPr>
                <w:rFonts w:cs="Arial"/>
                <w:bCs/>
              </w:rPr>
              <w:t xml:space="preserve"> </w:t>
            </w:r>
            <w:r w:rsidR="007A382D" w:rsidRPr="00657FED">
              <w:rPr>
                <w:rFonts w:cs="Arial"/>
                <w:bCs/>
                <w:i/>
                <w:iCs/>
                <w:color w:val="000000"/>
                <w:lang w:val="en"/>
              </w:rPr>
              <w:t>Foreign Capital Investment</w:t>
            </w:r>
            <w:r w:rsidR="007A382D" w:rsidRPr="00657FED">
              <w:rPr>
                <w:rFonts w:cs="Arial"/>
                <w:bCs/>
                <w:i/>
                <w:iCs/>
                <w:lang w:val="en"/>
              </w:rPr>
              <w:t xml:space="preserve">, </w:t>
            </w:r>
            <w:r w:rsidR="007A382D" w:rsidRPr="00657FED">
              <w:rPr>
                <w:rFonts w:cs="Arial"/>
                <w:bCs/>
                <w:i/>
                <w:iCs/>
                <w:color w:val="000000"/>
                <w:lang w:val="en"/>
              </w:rPr>
              <w:t>Expropriation, Nationalization</w:t>
            </w:r>
            <w:r w:rsidR="007A382D" w:rsidRPr="00657FED">
              <w:rPr>
                <w:rFonts w:cs="Arial"/>
                <w:bCs/>
                <w:i/>
                <w:iCs/>
                <w:color w:val="000000"/>
              </w:rPr>
              <w:t>.</w:t>
            </w:r>
          </w:p>
        </w:tc>
      </w:tr>
    </w:tbl>
    <w:p w14:paraId="18E37C27" w14:textId="77777777" w:rsidR="0066236E" w:rsidRDefault="0066236E" w:rsidP="00657FED"/>
    <w:p w14:paraId="58DC2E51" w14:textId="77777777" w:rsidR="0066236E" w:rsidRPr="00657FED" w:rsidRDefault="002B2802" w:rsidP="00657FED">
      <w:pPr>
        <w:pBdr>
          <w:top w:val="nil"/>
          <w:left w:val="nil"/>
          <w:bottom w:val="nil"/>
          <w:right w:val="nil"/>
          <w:between w:val="nil"/>
        </w:pBdr>
        <w:ind w:left="426"/>
        <w:jc w:val="center"/>
        <w:rPr>
          <w:b/>
          <w:color w:val="000000"/>
          <w:sz w:val="24"/>
          <w:szCs w:val="24"/>
        </w:rPr>
      </w:pPr>
      <w:r w:rsidRPr="00657FED">
        <w:rPr>
          <w:b/>
          <w:color w:val="000000"/>
          <w:sz w:val="24"/>
          <w:szCs w:val="24"/>
        </w:rPr>
        <w:t>PENDAHULUAN</w:t>
      </w:r>
    </w:p>
    <w:p w14:paraId="681C79FA" w14:textId="77777777" w:rsidR="007A382D" w:rsidRPr="00657FED" w:rsidRDefault="007A382D" w:rsidP="00657FED">
      <w:pPr>
        <w:pBdr>
          <w:top w:val="nil"/>
          <w:left w:val="nil"/>
          <w:bottom w:val="nil"/>
          <w:right w:val="nil"/>
          <w:between w:val="nil"/>
        </w:pBdr>
        <w:ind w:left="426" w:right="136" w:firstLine="709"/>
        <w:jc w:val="both"/>
        <w:rPr>
          <w:rFonts w:cs="Arial"/>
          <w:sz w:val="24"/>
          <w:szCs w:val="24"/>
        </w:rPr>
      </w:pPr>
      <w:r w:rsidRPr="00657FED">
        <w:rPr>
          <w:rFonts w:cs="Arial"/>
          <w:sz w:val="24"/>
          <w:szCs w:val="24"/>
        </w:rPr>
        <w:t xml:space="preserve">Pembangunan ekonomi dan kesejahteraan merupakan kebutuhan dalam rangka pembangunan nasional dan membawa Negara Indonesia ke dalam suatu alternatif pilihan, yaitu membangun dan mendatangkan modal asing (Ismail Sunny dan Rudioro Rochmat 1976:12). Penanaman modal asing wajib berbentuk perseroan terbatas dengan status perusahaan berbadan hukum Indonesia agar investor asing mendapat ketegasan status hukum perusahaan yang dijalankannya dan mendapatkan ketegasan tentang modal yang diinvestasikan yang tercantum dalam Pasal 5 ayat (2) Undang-undang No. 25 Tahun 2007 tentang penanaman modal. Pasal 7 Undang-undang No. 25 Tahun 2007 berbunyi, pemerintah tidak akan melakukan tindakan nasionalisasi atau pengambilalihan hak kepemilikan penanam modal, kecuali dengan undang-undang (Lihat Undang-Undang Nomor 25 Tahun 2007) Dalam hal terjadi pengambilalihan hak akan diberikan kompensasi yang jumlahnya ditetapkan berdasarkan harga pasar dan jika di antara kedua belah pihak tidak tercapai kesepakatan tentang kompensasi atau ganti rugi penyelesaiannya dilakukan melalui arbitrase. </w:t>
      </w:r>
    </w:p>
    <w:p w14:paraId="24F982D3" w14:textId="4DD10E40" w:rsidR="0066236E" w:rsidRPr="00657FED" w:rsidRDefault="007A382D" w:rsidP="00657FED">
      <w:pPr>
        <w:pBdr>
          <w:top w:val="nil"/>
          <w:left w:val="nil"/>
          <w:bottom w:val="nil"/>
          <w:right w:val="nil"/>
          <w:between w:val="nil"/>
        </w:pBdr>
        <w:ind w:left="426" w:right="136" w:firstLine="709"/>
        <w:jc w:val="both"/>
        <w:rPr>
          <w:rFonts w:cs="Arial"/>
          <w:sz w:val="24"/>
          <w:szCs w:val="24"/>
        </w:rPr>
      </w:pPr>
      <w:r w:rsidRPr="00657FED">
        <w:rPr>
          <w:rFonts w:cs="Arial"/>
          <w:sz w:val="24"/>
          <w:szCs w:val="24"/>
        </w:rPr>
        <w:t>Dalam bunyi pasal 7 diatas terdapat kata kecuali dengan undang-undang yang berarti, pemerintah tidak akan melakukan tindakan nasionalisasi namun bisa saja dilakukan dengan undang-undang. Dari penjabaran tersebut penulis akan menelaah kembali Nasionalisasi Dalam Penanaman Modal Asing yang tercantum dalam UU No. 25 Tahun 2007 tetang penanaman modal. Penelitian ini berfokus pada bagaimana nasionalisasi, pengambilalihan dan perlindungan hukum Investor terhadap pengambilalihan terhadap perusahaan penanaman modal asing</w:t>
      </w:r>
      <w:r w:rsidRPr="00657FED">
        <w:rPr>
          <w:rFonts w:cs="Arial"/>
          <w:sz w:val="24"/>
          <w:szCs w:val="24"/>
          <w:lang w:val="en-ID"/>
        </w:rPr>
        <w:t xml:space="preserve">. Kemudian dapat dirumuskan dua pokok permasalahan yaitu bagaimana </w:t>
      </w:r>
      <w:proofErr w:type="spellStart"/>
      <w:r w:rsidRPr="00657FED">
        <w:rPr>
          <w:rFonts w:cs="Arial"/>
          <w:sz w:val="24"/>
          <w:szCs w:val="24"/>
          <w:lang w:val="en-ID"/>
        </w:rPr>
        <w:t>Nasionanalisasi</w:t>
      </w:r>
      <w:proofErr w:type="spellEnd"/>
      <w:r w:rsidRPr="00657FED">
        <w:rPr>
          <w:rFonts w:cs="Arial"/>
          <w:sz w:val="24"/>
          <w:szCs w:val="24"/>
          <w:lang w:val="en-ID"/>
        </w:rPr>
        <w:t xml:space="preserve"> terhadap perusahaan penanaman modal Asing dan bagaimana pengambilalihan perusahaan penanaman Modal Asing menurut ketentuan Undang-Undang Nomor 25 Tahun 2007 tentang Penanaman Modal.</w:t>
      </w:r>
    </w:p>
    <w:p w14:paraId="4C29BDC7" w14:textId="3B1BDD21" w:rsidR="0066236E" w:rsidRPr="00657FED" w:rsidRDefault="0066236E" w:rsidP="00657FED">
      <w:pPr>
        <w:ind w:left="426" w:hanging="1133"/>
        <w:jc w:val="both"/>
        <w:rPr>
          <w:color w:val="000000"/>
          <w:sz w:val="24"/>
          <w:szCs w:val="24"/>
        </w:rPr>
      </w:pPr>
    </w:p>
    <w:p w14:paraId="78624F22" w14:textId="77777777" w:rsidR="0066236E" w:rsidRPr="00657FED" w:rsidRDefault="002B2802" w:rsidP="00657FED">
      <w:pPr>
        <w:pBdr>
          <w:top w:val="nil"/>
          <w:left w:val="nil"/>
          <w:bottom w:val="nil"/>
          <w:right w:val="nil"/>
          <w:between w:val="nil"/>
        </w:pBdr>
        <w:ind w:left="426"/>
        <w:jc w:val="center"/>
        <w:rPr>
          <w:b/>
          <w:color w:val="000000"/>
          <w:sz w:val="24"/>
          <w:szCs w:val="24"/>
        </w:rPr>
      </w:pPr>
      <w:r w:rsidRPr="00657FED">
        <w:rPr>
          <w:b/>
          <w:color w:val="000000"/>
          <w:sz w:val="24"/>
          <w:szCs w:val="24"/>
        </w:rPr>
        <w:t>METODE PENELITIAN</w:t>
      </w:r>
    </w:p>
    <w:p w14:paraId="3A6CB7B7" w14:textId="77777777" w:rsidR="00F25562" w:rsidRPr="00657FED" w:rsidRDefault="00F25562" w:rsidP="00657FED">
      <w:pPr>
        <w:adjustRightInd w:val="0"/>
        <w:ind w:left="426" w:firstLine="709"/>
        <w:jc w:val="both"/>
        <w:rPr>
          <w:rFonts w:cs="Arial"/>
          <w:sz w:val="24"/>
          <w:szCs w:val="24"/>
        </w:rPr>
      </w:pPr>
      <w:r w:rsidRPr="00657FED">
        <w:rPr>
          <w:rFonts w:cs="Arial"/>
          <w:noProof/>
          <w:sz w:val="24"/>
          <w:szCs w:val="24"/>
        </w:rPr>
        <w:t xml:space="preserve">Dilihat dari jenisnya maka penelitian ini dapat digolongkan kepada penelitian hukum </w:t>
      </w:r>
      <w:r w:rsidRPr="00657FED">
        <w:rPr>
          <w:rFonts w:cs="Arial"/>
          <w:i/>
          <w:noProof/>
          <w:sz w:val="24"/>
          <w:szCs w:val="24"/>
        </w:rPr>
        <w:t xml:space="preserve">normatif  </w:t>
      </w:r>
      <w:r w:rsidRPr="00657FED">
        <w:rPr>
          <w:rFonts w:cs="Arial"/>
          <w:noProof/>
          <w:sz w:val="24"/>
          <w:szCs w:val="24"/>
        </w:rPr>
        <w:t xml:space="preserve">atau metode penelitian kepustakaan </w:t>
      </w:r>
      <w:r w:rsidRPr="00657FED">
        <w:rPr>
          <w:rFonts w:cs="Arial"/>
          <w:sz w:val="24"/>
          <w:szCs w:val="24"/>
        </w:rPr>
        <w:t>yakni penelitian hukum yang dilakukan dengan cara mengkaji dan meneliti bahan-bahan pustaka berupa bahan hukum primer dan bahan hukum sekunder (Soerjono Soekanto dan Sri Mamudji 2007:13-14).</w:t>
      </w:r>
    </w:p>
    <w:p w14:paraId="77D0BC25" w14:textId="77777777" w:rsidR="00F25562" w:rsidRPr="00657FED" w:rsidRDefault="00F25562" w:rsidP="00657FED">
      <w:pPr>
        <w:adjustRightInd w:val="0"/>
        <w:ind w:left="426" w:firstLine="709"/>
        <w:jc w:val="both"/>
        <w:rPr>
          <w:rFonts w:cs="Arial"/>
          <w:sz w:val="24"/>
          <w:szCs w:val="24"/>
          <w:lang w:eastAsia="id-ID"/>
        </w:rPr>
      </w:pPr>
      <w:r w:rsidRPr="00657FED">
        <w:rPr>
          <w:rFonts w:cs="Arial"/>
          <w:sz w:val="24"/>
          <w:szCs w:val="24"/>
        </w:rPr>
        <w:t>Peter Mahmud Marzuki merumuskan penelitian hukum sebagai suatu proses untuk menemukan aturan hukum, prinsip-prinsip hukum, maupun doktrin-doktrin hukum guna menjawab isu hukum yang dihadapi (Peter Mahmud Marzuki 2008:29).</w:t>
      </w:r>
    </w:p>
    <w:p w14:paraId="1DCEE163" w14:textId="77777777" w:rsidR="00F25562" w:rsidRPr="00657FED" w:rsidRDefault="00F25562" w:rsidP="00657FED">
      <w:pPr>
        <w:adjustRightInd w:val="0"/>
        <w:ind w:left="426" w:firstLine="709"/>
        <w:jc w:val="both"/>
        <w:rPr>
          <w:rFonts w:cs="Arial"/>
          <w:sz w:val="24"/>
          <w:szCs w:val="24"/>
        </w:rPr>
      </w:pPr>
      <w:r w:rsidRPr="00657FED">
        <w:rPr>
          <w:rFonts w:cs="Arial"/>
          <w:sz w:val="24"/>
          <w:szCs w:val="24"/>
          <w:lang w:eastAsia="id-ID"/>
        </w:rPr>
        <w:t xml:space="preserve">Penelitian yang akan dilakukan penulis adalah penelitian hukum normatif, yaitu penelitian yang berdasarkan pada kaidah hukum yang berlaku, dalam hal ini penelitian dilakukan terhadap </w:t>
      </w:r>
      <w:r w:rsidRPr="00657FED">
        <w:rPr>
          <w:rFonts w:cs="Arial"/>
          <w:sz w:val="24"/>
          <w:szCs w:val="24"/>
          <w:lang w:val="pt-BR" w:eastAsia="id-ID"/>
        </w:rPr>
        <w:t>dalam</w:t>
      </w:r>
      <w:r w:rsidRPr="00657FED">
        <w:rPr>
          <w:rFonts w:cs="Arial"/>
          <w:bCs/>
          <w:sz w:val="24"/>
          <w:szCs w:val="24"/>
          <w:lang w:val="pt-BR"/>
        </w:rPr>
        <w:t xml:space="preserve"> </w:t>
      </w:r>
      <w:r w:rsidRPr="00657FED">
        <w:rPr>
          <w:rFonts w:cs="Arial"/>
          <w:sz w:val="24"/>
          <w:szCs w:val="24"/>
        </w:rPr>
        <w:t>Pengaruh Politik Hukum Terhadap Penghinaan Dan / Atau Pencemaran Nama Baik Berdasarkan Undang-Undang Informasi Dan Transaksi Elektronik</w:t>
      </w:r>
      <w:r w:rsidRPr="00657FED">
        <w:rPr>
          <w:rFonts w:cs="Arial"/>
          <w:sz w:val="24"/>
          <w:szCs w:val="24"/>
          <w:shd w:val="clear" w:color="auto" w:fill="FFFFFF"/>
          <w:lang w:val="eu-ES" w:eastAsia="id-ID"/>
        </w:rPr>
        <w:t xml:space="preserve">. </w:t>
      </w:r>
      <w:r w:rsidRPr="00657FED">
        <w:rPr>
          <w:rFonts w:cs="Arial"/>
          <w:sz w:val="24"/>
          <w:szCs w:val="24"/>
          <w:lang w:eastAsia="id-ID"/>
        </w:rPr>
        <w:t xml:space="preserve">Selanjutnya pendekatan penelitian untuk menjawab permasalahan dalam penelitian hukum normatif lazimnya yaitu </w:t>
      </w:r>
      <w:r w:rsidRPr="00657FED">
        <w:rPr>
          <w:rFonts w:cs="Arial"/>
          <w:sz w:val="24"/>
          <w:szCs w:val="24"/>
        </w:rPr>
        <w:t>Pendekatan Peraturan Perundang-undangan (</w:t>
      </w:r>
      <w:r w:rsidRPr="00657FED">
        <w:rPr>
          <w:rFonts w:cs="Arial"/>
          <w:i/>
          <w:sz w:val="24"/>
          <w:szCs w:val="24"/>
        </w:rPr>
        <w:t>Statute Approach</w:t>
      </w:r>
      <w:r w:rsidRPr="00657FED">
        <w:rPr>
          <w:rFonts w:cs="Arial"/>
          <w:sz w:val="24"/>
          <w:szCs w:val="24"/>
        </w:rPr>
        <w:t>)</w:t>
      </w:r>
      <w:r w:rsidRPr="00657FED">
        <w:rPr>
          <w:rFonts w:cs="Arial"/>
          <w:sz w:val="24"/>
          <w:szCs w:val="24"/>
          <w:shd w:val="clear" w:color="auto" w:fill="FFFFFF"/>
          <w:lang w:eastAsia="id-ID"/>
        </w:rPr>
        <w:t xml:space="preserve"> dan </w:t>
      </w:r>
      <w:r w:rsidRPr="00657FED">
        <w:rPr>
          <w:rFonts w:cs="Arial"/>
          <w:sz w:val="24"/>
          <w:szCs w:val="24"/>
        </w:rPr>
        <w:t>Pendekatan Kasus (</w:t>
      </w:r>
      <w:r w:rsidRPr="00657FED">
        <w:rPr>
          <w:rFonts w:cs="Arial"/>
          <w:i/>
          <w:sz w:val="24"/>
          <w:szCs w:val="24"/>
        </w:rPr>
        <w:t>Case Approach</w:t>
      </w:r>
      <w:r w:rsidRPr="00657FED">
        <w:rPr>
          <w:rFonts w:cs="Arial"/>
          <w:sz w:val="24"/>
          <w:szCs w:val="24"/>
        </w:rPr>
        <w:t>)</w:t>
      </w:r>
      <w:r w:rsidRPr="00657FED">
        <w:rPr>
          <w:rFonts w:cs="Arial"/>
          <w:sz w:val="24"/>
          <w:szCs w:val="24"/>
          <w:shd w:val="clear" w:color="auto" w:fill="FFFFFF"/>
          <w:lang w:eastAsia="id-ID"/>
        </w:rPr>
        <w:t xml:space="preserve">. </w:t>
      </w:r>
      <w:r w:rsidRPr="00657FED">
        <w:rPr>
          <w:rFonts w:cs="Arial"/>
          <w:sz w:val="24"/>
          <w:szCs w:val="24"/>
          <w:lang w:eastAsia="id-ID"/>
        </w:rPr>
        <w:t xml:space="preserve">Sumber data yang digunakan dalam penelitian hukum normatif ini adalah data sekunder yang dibedakan menjadi 3 (tiga) bagian, yaitu </w:t>
      </w:r>
      <w:r w:rsidRPr="00657FED">
        <w:rPr>
          <w:rFonts w:cs="Arial"/>
          <w:sz w:val="24"/>
          <w:szCs w:val="24"/>
        </w:rPr>
        <w:t>Bahan Hukum Primer</w:t>
      </w:r>
      <w:r w:rsidRPr="00657FED">
        <w:rPr>
          <w:rFonts w:cs="Arial"/>
          <w:sz w:val="24"/>
          <w:szCs w:val="24"/>
          <w:shd w:val="clear" w:color="auto" w:fill="FFFFFF"/>
          <w:lang w:eastAsia="id-ID"/>
        </w:rPr>
        <w:t xml:space="preserve">, </w:t>
      </w:r>
      <w:r w:rsidRPr="00657FED">
        <w:rPr>
          <w:rFonts w:cs="Arial"/>
          <w:sz w:val="24"/>
          <w:szCs w:val="24"/>
        </w:rPr>
        <w:t>Bahan Hukum Sekunder</w:t>
      </w:r>
      <w:r w:rsidRPr="00657FED">
        <w:rPr>
          <w:rFonts w:cs="Arial"/>
          <w:sz w:val="24"/>
          <w:szCs w:val="24"/>
          <w:shd w:val="clear" w:color="auto" w:fill="FFFFFF"/>
          <w:lang w:eastAsia="id-ID"/>
        </w:rPr>
        <w:t xml:space="preserve"> dan </w:t>
      </w:r>
      <w:r w:rsidRPr="00657FED">
        <w:rPr>
          <w:rFonts w:cs="Arial"/>
          <w:sz w:val="24"/>
          <w:szCs w:val="24"/>
        </w:rPr>
        <w:t>Bahan Hukum Tersier.</w:t>
      </w:r>
    </w:p>
    <w:p w14:paraId="24A955E1" w14:textId="77777777" w:rsidR="00F25562" w:rsidRPr="00657FED" w:rsidRDefault="00F25562" w:rsidP="00657FED">
      <w:pPr>
        <w:adjustRightInd w:val="0"/>
        <w:ind w:left="426" w:firstLine="709"/>
        <w:jc w:val="both"/>
        <w:rPr>
          <w:rFonts w:cs="Arial"/>
          <w:sz w:val="24"/>
          <w:szCs w:val="24"/>
          <w:lang w:eastAsia="id-ID"/>
        </w:rPr>
      </w:pPr>
      <w:r w:rsidRPr="00657FED">
        <w:rPr>
          <w:rFonts w:cs="Arial"/>
          <w:sz w:val="24"/>
          <w:szCs w:val="24"/>
        </w:rPr>
        <w:t xml:space="preserve">Bahan Hukum Primer yaitu bahan huum yang terdiri atas peraturan perundang-undangan. Bahan ini antara lain Undang-Undang Nomor 25 Tahun 2007 tentang Penanaman Modal. Bahan hukum sekunder yaitu bahan hukum yang terdiri atas buku-buku, jurnal-jurnal hukum pendapat para sarjana (doktrin), kasus-kasus hukum, jurisprudensi dan hasil-hasil symposium mutakhir yang berkaitan dengan permasalahan penelitian (Jhony Ibrahim 2006:295). Bahan Hukum tersier bahan-bahan hukum yang memberikan petunjuk atau penjelasan terhadap bahan hukum primer dan bahan hukum sekunder, misalnya penjelasan perundang-undangan, ensiklopedi hukum, dan indeks majalah hukum. </w:t>
      </w:r>
    </w:p>
    <w:p w14:paraId="0F505416" w14:textId="77777777" w:rsidR="00F25562" w:rsidRPr="00657FED" w:rsidRDefault="00F25562" w:rsidP="00657FED">
      <w:pPr>
        <w:adjustRightInd w:val="0"/>
        <w:ind w:left="426" w:firstLine="709"/>
        <w:jc w:val="both"/>
        <w:rPr>
          <w:rFonts w:cs="Arial"/>
          <w:sz w:val="24"/>
          <w:szCs w:val="24"/>
        </w:rPr>
      </w:pPr>
      <w:r w:rsidRPr="00657FED">
        <w:rPr>
          <w:rFonts w:cs="Arial"/>
          <w:bCs/>
          <w:sz w:val="24"/>
          <w:szCs w:val="24"/>
          <w:lang w:eastAsia="id-ID"/>
        </w:rPr>
        <w:t xml:space="preserve">Adapun teknik pengumpulan data dalam penelitian hukum normatif hanya digunakan teknik studi documenter/studi kepustakaan, </w:t>
      </w:r>
      <w:r w:rsidRPr="00657FED">
        <w:rPr>
          <w:rFonts w:cs="Arial"/>
          <w:sz w:val="24"/>
          <w:szCs w:val="24"/>
          <w:lang w:eastAsia="id-ID"/>
        </w:rPr>
        <w:t>yaitu dengan metode melakukan pengumpulan data-data literature yang terdapat pada kajian kepustakaan yang nantinya akan dikorelasikan dengan permasalahan yang akan diteliti</w:t>
      </w:r>
      <w:r w:rsidRPr="00657FED">
        <w:rPr>
          <w:rFonts w:cs="Arial"/>
          <w:bCs/>
          <w:sz w:val="24"/>
          <w:szCs w:val="24"/>
          <w:lang w:eastAsia="id-ID"/>
        </w:rPr>
        <w:t>. Dan juga wawancara secara nonstruktur yang berfungsi sebagai penunjang bukan sebagai alat untuk mendapatkan data primer.</w:t>
      </w:r>
      <w:r w:rsidRPr="00657FED">
        <w:rPr>
          <w:rFonts w:cs="Arial"/>
          <w:sz w:val="24"/>
          <w:szCs w:val="24"/>
        </w:rPr>
        <w:t xml:space="preserve"> Data yang dikumpulkan dari bahan hukum primer, sekunder, dan tertier selanjutnya dianalisis secara deskriptif kualitatif. Teknik analisis ini tidak mengunakan angka-angka atau statistik, namun lebih kepada penjelasan dalam</w:t>
      </w:r>
      <w:r w:rsidRPr="00657FED">
        <w:rPr>
          <w:rFonts w:cs="Arial"/>
          <w:sz w:val="24"/>
          <w:szCs w:val="24"/>
          <w:shd w:val="clear" w:color="auto" w:fill="FFFFFF"/>
          <w:lang w:val="eu-ES" w:eastAsia="id-ID"/>
        </w:rPr>
        <w:t xml:space="preserve"> </w:t>
      </w:r>
      <w:r w:rsidRPr="00657FED">
        <w:rPr>
          <w:rFonts w:cs="Arial"/>
          <w:sz w:val="24"/>
          <w:szCs w:val="24"/>
        </w:rPr>
        <w:t>bentuk kalimat yang dipaparkan secara lugas. Data yang telah dianalisis dan dideskriptifkan selanjutnya disimpulkan dengan metode induktif, yakni menyimpulkan dari pernyataan yang bersifat khusus ke dalam pernyataan yang bersifat umum.</w:t>
      </w:r>
    </w:p>
    <w:p w14:paraId="2C406778" w14:textId="17B67E13" w:rsidR="0066236E" w:rsidRPr="00657FED" w:rsidRDefault="00F25562" w:rsidP="00657FED">
      <w:pPr>
        <w:pBdr>
          <w:top w:val="nil"/>
          <w:left w:val="nil"/>
          <w:bottom w:val="nil"/>
          <w:right w:val="nil"/>
          <w:between w:val="nil"/>
        </w:pBdr>
        <w:ind w:left="426" w:right="136" w:firstLine="709"/>
        <w:jc w:val="both"/>
        <w:rPr>
          <w:rFonts w:cs="Arial"/>
          <w:color w:val="000000"/>
          <w:sz w:val="24"/>
          <w:szCs w:val="24"/>
        </w:rPr>
      </w:pPr>
      <w:r w:rsidRPr="00657FED">
        <w:rPr>
          <w:rFonts w:cs="Arial"/>
          <w:sz w:val="24"/>
          <w:szCs w:val="24"/>
          <w:lang w:val="sv-SE" w:eastAsia="id-ID"/>
        </w:rPr>
        <w:t>Penarikan kesimpulan menggunakan logika berpikir deduktif, yaitu penalaran (hukum) yang berlaku umum pada kasus individual dan konkrit (persoalan hukum faktual yang konkrit) yang dihadapi. Dimana dalam mendapatkan suatu kesimpulan dimulai dengan melihat faktor-faktor yang nyata dan diakhiri dengan penarikan suatu kesimpulan yang juga merupakan fakta dimana kedua fakta tersebut dijembatani oleh teori-teori.</w:t>
      </w:r>
    </w:p>
    <w:p w14:paraId="162D594D" w14:textId="77777777" w:rsidR="00402D0B" w:rsidRPr="00657FED" w:rsidRDefault="00402D0B" w:rsidP="00657FED">
      <w:pPr>
        <w:pBdr>
          <w:top w:val="nil"/>
          <w:left w:val="nil"/>
          <w:bottom w:val="nil"/>
          <w:right w:val="nil"/>
          <w:between w:val="nil"/>
        </w:pBdr>
        <w:ind w:left="426"/>
        <w:jc w:val="center"/>
        <w:rPr>
          <w:b/>
          <w:color w:val="000000"/>
          <w:sz w:val="24"/>
          <w:szCs w:val="24"/>
        </w:rPr>
      </w:pPr>
    </w:p>
    <w:p w14:paraId="5AEFDF43" w14:textId="0E4C0A21" w:rsidR="0066236E" w:rsidRPr="00657FED" w:rsidRDefault="002B2802" w:rsidP="00657FED">
      <w:pPr>
        <w:pBdr>
          <w:top w:val="nil"/>
          <w:left w:val="nil"/>
          <w:bottom w:val="nil"/>
          <w:right w:val="nil"/>
          <w:between w:val="nil"/>
        </w:pBdr>
        <w:ind w:left="426"/>
        <w:jc w:val="center"/>
        <w:rPr>
          <w:b/>
          <w:color w:val="000000"/>
          <w:sz w:val="24"/>
          <w:szCs w:val="24"/>
        </w:rPr>
      </w:pPr>
      <w:r w:rsidRPr="00657FED">
        <w:rPr>
          <w:b/>
          <w:color w:val="000000"/>
          <w:sz w:val="24"/>
          <w:szCs w:val="24"/>
        </w:rPr>
        <w:t>HASIL DAN PEMBAHASAN</w:t>
      </w:r>
    </w:p>
    <w:p w14:paraId="506677A5" w14:textId="77777777" w:rsidR="00F25562" w:rsidRPr="00657FED" w:rsidRDefault="00F25562" w:rsidP="00657FED">
      <w:pPr>
        <w:pStyle w:val="BodyText"/>
        <w:widowControl/>
        <w:numPr>
          <w:ilvl w:val="0"/>
          <w:numId w:val="3"/>
        </w:numPr>
        <w:autoSpaceDE/>
        <w:autoSpaceDN/>
        <w:ind w:left="426" w:right="15" w:firstLine="0"/>
        <w:jc w:val="both"/>
        <w:rPr>
          <w:rFonts w:cs="Arial"/>
          <w:b/>
          <w:bCs/>
        </w:rPr>
      </w:pPr>
      <w:r w:rsidRPr="00657FED">
        <w:rPr>
          <w:rFonts w:cs="Arial"/>
          <w:b/>
          <w:bCs/>
        </w:rPr>
        <w:t>Nasionalisasi Terhadap Perusahaan Penanaman Modal Asing</w:t>
      </w:r>
    </w:p>
    <w:p w14:paraId="0608DE85" w14:textId="77777777" w:rsidR="00F25562" w:rsidRPr="00657FED" w:rsidRDefault="00F25562" w:rsidP="00657FED">
      <w:pPr>
        <w:pStyle w:val="BodyText"/>
        <w:ind w:left="426" w:right="15" w:firstLine="425"/>
        <w:jc w:val="both"/>
        <w:rPr>
          <w:rFonts w:cs="Arial"/>
        </w:rPr>
      </w:pPr>
      <w:r w:rsidRPr="00657FED">
        <w:rPr>
          <w:rFonts w:cs="Arial"/>
        </w:rPr>
        <w:t>Nasionalisasi sering disamakan dengan konfikasi dan onteigening dan pencabutan hak. Istilah nasionalisasi paling tidak mencakup tiga pengertian Konfiskasi, Onteigening dan Pencabutan Hak. L Erades memberikan arti nasionalisasi, yakni suatu peraturan dengan mana pihak penguasa memaksakan semua atau segolongan tertentu untuk menerima (</w:t>
      </w:r>
      <w:r w:rsidRPr="00657FED">
        <w:rPr>
          <w:rFonts w:cs="Arial"/>
          <w:i/>
          <w:iCs/>
        </w:rPr>
        <w:t>dwingt te godegen</w:t>
      </w:r>
      <w:r w:rsidRPr="00657FED">
        <w:rPr>
          <w:rFonts w:cs="Arial"/>
        </w:rPr>
        <w:t>), bahwa hak-hak mereka atas semua atau beberapa macam benda tertentu beralih kepada negara. Dengan demikian nasionalisasi adalah suatu cara peralihan hak dari pihak partekelir kepada negara secara paksa. (Sentosa Sembiring, 2009:83)</w:t>
      </w:r>
    </w:p>
    <w:p w14:paraId="1D4D452C" w14:textId="77777777" w:rsidR="00F25562" w:rsidRPr="00657FED" w:rsidRDefault="00F25562" w:rsidP="00657FED">
      <w:pPr>
        <w:pStyle w:val="BodyText"/>
        <w:ind w:left="426" w:right="15" w:firstLine="425"/>
        <w:jc w:val="both"/>
        <w:rPr>
          <w:rFonts w:cs="Arial"/>
        </w:rPr>
      </w:pPr>
      <w:r w:rsidRPr="00657FED">
        <w:rPr>
          <w:rFonts w:cs="Arial"/>
        </w:rPr>
        <w:t xml:space="preserve">Nasionalisasi dipandang sebagai </w:t>
      </w:r>
      <w:r w:rsidRPr="00657FED">
        <w:rPr>
          <w:rFonts w:cs="Arial"/>
          <w:i/>
          <w:iCs/>
        </w:rPr>
        <w:t>Species</w:t>
      </w:r>
      <w:r w:rsidRPr="00657FED">
        <w:rPr>
          <w:rFonts w:cs="Arial"/>
        </w:rPr>
        <w:t xml:space="preserve"> dari </w:t>
      </w:r>
      <w:r w:rsidRPr="00657FED">
        <w:rPr>
          <w:rFonts w:cs="Arial"/>
          <w:i/>
          <w:iCs/>
        </w:rPr>
        <w:t>Genus</w:t>
      </w:r>
      <w:r w:rsidRPr="00657FED">
        <w:rPr>
          <w:rFonts w:cs="Arial"/>
        </w:rPr>
        <w:t xml:space="preserve"> pencabutan hak dan Onteigening. Berkaitan dengan ketentuan di atas berarti setiap ada pencabutan hak dan onteigening pada prinsipnya harus diikuti dengan ganti rugi. Sementara itu jika tidak disertai dengan ganti rugi maka dia dapat disebut dengan konfiskasi. Konfiskasi ini mirip dengan pencabutan hak (semacam </w:t>
      </w:r>
      <w:r w:rsidRPr="00657FED">
        <w:rPr>
          <w:rFonts w:cs="Arial"/>
          <w:i/>
          <w:iCs/>
        </w:rPr>
        <w:t>onteigening</w:t>
      </w:r>
      <w:r w:rsidRPr="00657FED">
        <w:rPr>
          <w:rFonts w:cs="Arial"/>
        </w:rPr>
        <w:t xml:space="preserve">), tetapi dengan corak khusus tanpa ganti rugi. Di Indonesia pada masa kabinet Karya Republik Indonesia ketentuan tentang nasionalisasi diatur dalam Undang-Undang Nomor 86 tahun 1958. Dalam istilah nasionalisasi termasuk di dalamnya expropriation atau Confiscatie. Dengan istilah nasionaliasi ini diartikan bahwa suatu perusahaan menjadi milik negara. Perusahaan bersangkutan menjadi </w:t>
      </w:r>
      <w:r w:rsidRPr="00657FED">
        <w:rPr>
          <w:rFonts w:cs="Arial"/>
          <w:i/>
          <w:iCs/>
        </w:rPr>
        <w:t>a nation affair</w:t>
      </w:r>
      <w:r w:rsidRPr="00657FED">
        <w:rPr>
          <w:rFonts w:cs="Arial"/>
        </w:rPr>
        <w:t>. Dalam hal nasionalisasi yang menjadikan objeknya perusahaan-perusahaan.</w:t>
      </w:r>
    </w:p>
    <w:p w14:paraId="38636CF2" w14:textId="77777777" w:rsidR="00F25562" w:rsidRPr="00657FED" w:rsidRDefault="00F25562" w:rsidP="00657FED">
      <w:pPr>
        <w:pStyle w:val="BodyText"/>
        <w:ind w:left="426" w:right="15" w:firstLine="425"/>
        <w:jc w:val="both"/>
        <w:rPr>
          <w:rFonts w:cs="Arial"/>
        </w:rPr>
      </w:pPr>
      <w:r w:rsidRPr="00657FED">
        <w:rPr>
          <w:rFonts w:cs="Arial"/>
        </w:rPr>
        <w:t>Pelaksanaan nasionalisasi oleh suatu negara terhadap hak milik atau benda-benda yang berkaitan dengan suatu perusahaan asing di negara yang hendak melakukan tindakan hukum nasionalisasi harus memperhatikan prinsip teritorialiteit. Artinya Objek yang akan di nasionaliasasi berada di dalam batas-batas teritorial negara yang melakukan nasionalisasi. Prinsip tertitorialiteit pada dasarnya telah dilakukan oleh Indonesia ketika menasionalisasi perusahaanperusahaan Belanda di Indonesia. Hal ini dapat kita jumpai dalam ketentuan Pasal 1 UU No. 86 Tahun 1958, bahwa perusahaan-perusahaan milik Belanda yang berada di Republik Indonesia yang akan ditetapkan dengan Peraturan Pemerintah dikenakan nasionalisasi dan dinyatakan menjadi milik yang penuh dan bebas Negara Republik Indonesia. Apabila dikaji difinisi diatas, ada dua manfaat dari konsep Nasionalisasi: (Sentosa Sembiring, 2009:83)</w:t>
      </w:r>
    </w:p>
    <w:p w14:paraId="59575016" w14:textId="77777777" w:rsidR="00F25562" w:rsidRPr="00657FED" w:rsidRDefault="00F25562" w:rsidP="00657FED">
      <w:pPr>
        <w:pStyle w:val="BodyText"/>
        <w:widowControl/>
        <w:numPr>
          <w:ilvl w:val="0"/>
          <w:numId w:val="4"/>
        </w:numPr>
        <w:autoSpaceDE/>
        <w:autoSpaceDN/>
        <w:ind w:left="851" w:right="15"/>
        <w:jc w:val="both"/>
        <w:rPr>
          <w:rFonts w:cs="Arial"/>
        </w:rPr>
      </w:pPr>
      <w:r w:rsidRPr="00657FED">
        <w:rPr>
          <w:rFonts w:cs="Arial"/>
        </w:rPr>
        <w:t>Mendapatkan keuntungan; dan</w:t>
      </w:r>
    </w:p>
    <w:p w14:paraId="05A84379" w14:textId="77777777" w:rsidR="00F25562" w:rsidRPr="00657FED" w:rsidRDefault="00F25562" w:rsidP="00657FED">
      <w:pPr>
        <w:pStyle w:val="BodyText"/>
        <w:widowControl/>
        <w:numPr>
          <w:ilvl w:val="0"/>
          <w:numId w:val="4"/>
        </w:numPr>
        <w:autoSpaceDE/>
        <w:autoSpaceDN/>
        <w:ind w:left="851" w:right="15"/>
        <w:jc w:val="both"/>
        <w:rPr>
          <w:rFonts w:cs="Arial"/>
        </w:rPr>
      </w:pPr>
      <w:r w:rsidRPr="00657FED">
        <w:rPr>
          <w:rFonts w:cs="Arial"/>
        </w:rPr>
        <w:t>Pengalihan control terhadap jalannya perusahaan.</w:t>
      </w:r>
    </w:p>
    <w:p w14:paraId="2F9F5A37" w14:textId="77777777" w:rsidR="00F25562" w:rsidRPr="00657FED" w:rsidRDefault="00F25562" w:rsidP="00657FED">
      <w:pPr>
        <w:pStyle w:val="BodyText"/>
        <w:ind w:left="426" w:right="15" w:firstLine="425"/>
        <w:jc w:val="both"/>
        <w:rPr>
          <w:rFonts w:cs="Arial"/>
        </w:rPr>
      </w:pPr>
      <w:r w:rsidRPr="00657FED">
        <w:rPr>
          <w:rFonts w:cs="Arial"/>
        </w:rPr>
        <w:t>Melihat dari pengertian diatas dari tindakan nasionalisasi yang dilakukan oleh Pemerintah Indonesia, kita dapat menarik tujuan dari penyelenggaraan Nasionalisasi terhadap Perusahaan Penanaman Modal Asing, antara lain:</w:t>
      </w:r>
    </w:p>
    <w:p w14:paraId="0F54B5AB" w14:textId="77777777" w:rsidR="00F25562" w:rsidRPr="00657FED" w:rsidRDefault="00F25562" w:rsidP="00657FED">
      <w:pPr>
        <w:pStyle w:val="BodyText"/>
        <w:widowControl/>
        <w:numPr>
          <w:ilvl w:val="0"/>
          <w:numId w:val="5"/>
        </w:numPr>
        <w:autoSpaceDE/>
        <w:autoSpaceDN/>
        <w:ind w:left="851" w:right="15"/>
        <w:jc w:val="both"/>
        <w:rPr>
          <w:rFonts w:cs="Arial"/>
        </w:rPr>
      </w:pPr>
      <w:r w:rsidRPr="00657FED">
        <w:rPr>
          <w:rFonts w:cs="Arial"/>
        </w:rPr>
        <w:t>Meningkatkan ekonomi nasional;</w:t>
      </w:r>
    </w:p>
    <w:p w14:paraId="3FCA11C0" w14:textId="77777777" w:rsidR="00F25562" w:rsidRPr="00657FED" w:rsidRDefault="00F25562" w:rsidP="00657FED">
      <w:pPr>
        <w:pStyle w:val="BodyText"/>
        <w:widowControl/>
        <w:numPr>
          <w:ilvl w:val="0"/>
          <w:numId w:val="5"/>
        </w:numPr>
        <w:autoSpaceDE/>
        <w:autoSpaceDN/>
        <w:ind w:left="851" w:right="15"/>
        <w:jc w:val="both"/>
        <w:rPr>
          <w:rFonts w:cs="Arial"/>
        </w:rPr>
      </w:pPr>
      <w:r w:rsidRPr="00657FED">
        <w:rPr>
          <w:rFonts w:cs="Arial"/>
        </w:rPr>
        <w:t>Menyelamatkan Penanaman Modal Dalam Negeri;</w:t>
      </w:r>
    </w:p>
    <w:p w14:paraId="4617C82B" w14:textId="77777777" w:rsidR="00F25562" w:rsidRPr="00657FED" w:rsidRDefault="00F25562" w:rsidP="00657FED">
      <w:pPr>
        <w:pStyle w:val="BodyText"/>
        <w:widowControl/>
        <w:numPr>
          <w:ilvl w:val="0"/>
          <w:numId w:val="5"/>
        </w:numPr>
        <w:autoSpaceDE/>
        <w:autoSpaceDN/>
        <w:ind w:left="851" w:right="15"/>
        <w:jc w:val="both"/>
        <w:rPr>
          <w:rFonts w:cs="Arial"/>
        </w:rPr>
      </w:pPr>
      <w:r w:rsidRPr="00657FED">
        <w:rPr>
          <w:rFonts w:cs="Arial"/>
        </w:rPr>
        <w:t>Menciptakan iklim investasi yang kondusif;</w:t>
      </w:r>
    </w:p>
    <w:p w14:paraId="1966F629" w14:textId="77777777" w:rsidR="00F25562" w:rsidRPr="00657FED" w:rsidRDefault="00F25562" w:rsidP="00657FED">
      <w:pPr>
        <w:pStyle w:val="BodyText"/>
        <w:widowControl/>
        <w:numPr>
          <w:ilvl w:val="0"/>
          <w:numId w:val="5"/>
        </w:numPr>
        <w:autoSpaceDE/>
        <w:autoSpaceDN/>
        <w:ind w:left="851" w:right="15"/>
        <w:jc w:val="both"/>
        <w:rPr>
          <w:rFonts w:cs="Arial"/>
        </w:rPr>
      </w:pPr>
      <w:r w:rsidRPr="00657FED">
        <w:rPr>
          <w:rFonts w:cs="Arial"/>
        </w:rPr>
        <w:t>Meningkatkan kepastian hukum terhadap investor asing;</w:t>
      </w:r>
    </w:p>
    <w:p w14:paraId="1DFE42E3" w14:textId="77777777" w:rsidR="00F25562" w:rsidRPr="00657FED" w:rsidRDefault="00F25562" w:rsidP="00657FED">
      <w:pPr>
        <w:pStyle w:val="BodyText"/>
        <w:widowControl/>
        <w:numPr>
          <w:ilvl w:val="0"/>
          <w:numId w:val="5"/>
        </w:numPr>
        <w:autoSpaceDE/>
        <w:autoSpaceDN/>
        <w:ind w:left="851" w:right="15"/>
        <w:jc w:val="both"/>
        <w:rPr>
          <w:rFonts w:cs="Arial"/>
        </w:rPr>
      </w:pPr>
      <w:r w:rsidRPr="00657FED">
        <w:rPr>
          <w:rFonts w:cs="Arial"/>
        </w:rPr>
        <w:t>Mendorong pengembangan ekonomi nasional; dan</w:t>
      </w:r>
    </w:p>
    <w:p w14:paraId="3E58B696" w14:textId="77777777" w:rsidR="00F25562" w:rsidRPr="00657FED" w:rsidRDefault="00F25562" w:rsidP="00657FED">
      <w:pPr>
        <w:pStyle w:val="BodyText"/>
        <w:widowControl/>
        <w:numPr>
          <w:ilvl w:val="0"/>
          <w:numId w:val="5"/>
        </w:numPr>
        <w:autoSpaceDE/>
        <w:autoSpaceDN/>
        <w:ind w:left="851" w:right="15"/>
        <w:jc w:val="both"/>
        <w:rPr>
          <w:rFonts w:cs="Arial"/>
        </w:rPr>
      </w:pPr>
      <w:r w:rsidRPr="00657FED">
        <w:rPr>
          <w:rFonts w:cs="Arial"/>
        </w:rPr>
        <w:t>Meningkatkan kesejahteraan masyarakat.</w:t>
      </w:r>
    </w:p>
    <w:p w14:paraId="71B3D551" w14:textId="77777777" w:rsidR="00F25562" w:rsidRPr="00657FED" w:rsidRDefault="00F25562" w:rsidP="00657FED">
      <w:pPr>
        <w:pStyle w:val="BodyText"/>
        <w:ind w:left="426" w:right="15" w:firstLine="425"/>
        <w:jc w:val="both"/>
        <w:rPr>
          <w:rFonts w:cs="Arial"/>
        </w:rPr>
      </w:pPr>
      <w:r w:rsidRPr="00657FED">
        <w:rPr>
          <w:rFonts w:cs="Arial"/>
        </w:rPr>
        <w:t>Pada tahun 1949 adanya penandatanganan perjanjian pemulihan kedaulatan Indonesia pada tanggal 2 November 1949 telah membuka jalan bagi bangsa Indoensia untuk menghidupkan kembali investasi asing yang sempat terbengkalai hampir 10 tahun akibat Perang Dunia II dan perjuangan mempertahankan kemerdekaann. Sesuai dengan isi perjanjian tersebut musalnya di bidang investasi yang diwajibkan kepada indonseia antara lain sebagai berikut:</w:t>
      </w:r>
    </w:p>
    <w:p w14:paraId="1B0B69F5" w14:textId="77777777" w:rsidR="00F25562" w:rsidRPr="00657FED" w:rsidRDefault="00F25562" w:rsidP="00657FED">
      <w:pPr>
        <w:pStyle w:val="BodyText"/>
        <w:widowControl/>
        <w:numPr>
          <w:ilvl w:val="0"/>
          <w:numId w:val="8"/>
        </w:numPr>
        <w:autoSpaceDE/>
        <w:autoSpaceDN/>
        <w:ind w:left="851" w:right="15" w:hanging="284"/>
        <w:jc w:val="both"/>
        <w:rPr>
          <w:rFonts w:cs="Arial"/>
        </w:rPr>
      </w:pPr>
      <w:r w:rsidRPr="00657FED">
        <w:rPr>
          <w:rFonts w:cs="Arial"/>
        </w:rPr>
        <w:t>Menjamin berlangsungnya iklim investasi di indonesia menghendaki sebagaimana sebelum tahun 1942 termasuk pengakuan dan pemulihan hak-hak investor asing.</w:t>
      </w:r>
    </w:p>
    <w:p w14:paraId="1FEC9447" w14:textId="77777777" w:rsidR="00F25562" w:rsidRPr="00657FED" w:rsidRDefault="00F25562" w:rsidP="00657FED">
      <w:pPr>
        <w:pStyle w:val="BodyText"/>
        <w:widowControl/>
        <w:numPr>
          <w:ilvl w:val="0"/>
          <w:numId w:val="8"/>
        </w:numPr>
        <w:autoSpaceDE/>
        <w:autoSpaceDN/>
        <w:ind w:left="851" w:right="15" w:hanging="284"/>
        <w:jc w:val="both"/>
        <w:rPr>
          <w:rFonts w:cs="Arial"/>
        </w:rPr>
      </w:pPr>
      <w:r w:rsidRPr="00657FED">
        <w:rPr>
          <w:rFonts w:cs="Arial"/>
        </w:rPr>
        <w:t xml:space="preserve">Dalam hal kepentingan nasional, Indonesia menghendaki diberlakukannya tindakan nasionalisasi, maka tindakan tersebut harus dilakukan dengan cara memberikan ganti rugi yang layak. </w:t>
      </w:r>
    </w:p>
    <w:p w14:paraId="52012B14" w14:textId="77777777" w:rsidR="00F25562" w:rsidRPr="00657FED" w:rsidRDefault="00F25562" w:rsidP="00657FED">
      <w:pPr>
        <w:pStyle w:val="BodyText"/>
        <w:widowControl/>
        <w:numPr>
          <w:ilvl w:val="0"/>
          <w:numId w:val="8"/>
        </w:numPr>
        <w:autoSpaceDE/>
        <w:autoSpaceDN/>
        <w:ind w:left="851" w:right="15" w:hanging="284"/>
        <w:jc w:val="both"/>
        <w:rPr>
          <w:rFonts w:cs="Arial"/>
        </w:rPr>
      </w:pPr>
      <w:r w:rsidRPr="00657FED">
        <w:rPr>
          <w:rFonts w:cs="Arial"/>
        </w:rPr>
        <w:t>Diperbolehkan adanya penanaman modal baru di Indonesia. Dalam UU No. 78 Tahun 1958 debedakan secara tajam antara pengusaha asing dengan pengusaha nasional berikut bidang-bidang yang diperbolehkan untuk diusahakan dan adanya penawaran berbagai skema insentif bagi investor asing seperti: (Salim HS dan Budi Sutrisno 2008:18)</w:t>
      </w:r>
    </w:p>
    <w:p w14:paraId="11DE7C74" w14:textId="77777777" w:rsidR="00F25562" w:rsidRPr="00657FED" w:rsidRDefault="00F25562" w:rsidP="00657FED">
      <w:pPr>
        <w:pStyle w:val="BodyText"/>
        <w:widowControl/>
        <w:numPr>
          <w:ilvl w:val="0"/>
          <w:numId w:val="9"/>
        </w:numPr>
        <w:autoSpaceDE/>
        <w:autoSpaceDN/>
        <w:ind w:left="1276" w:right="15"/>
        <w:jc w:val="both"/>
        <w:rPr>
          <w:rFonts w:cs="Arial"/>
        </w:rPr>
      </w:pPr>
      <w:r w:rsidRPr="00657FED">
        <w:rPr>
          <w:rFonts w:cs="Arial"/>
        </w:rPr>
        <w:t xml:space="preserve">Pengurangan pajak impor; </w:t>
      </w:r>
    </w:p>
    <w:p w14:paraId="1F592DFB" w14:textId="77777777" w:rsidR="00F25562" w:rsidRPr="00657FED" w:rsidRDefault="00F25562" w:rsidP="00657FED">
      <w:pPr>
        <w:pStyle w:val="BodyText"/>
        <w:widowControl/>
        <w:numPr>
          <w:ilvl w:val="0"/>
          <w:numId w:val="9"/>
        </w:numPr>
        <w:autoSpaceDE/>
        <w:autoSpaceDN/>
        <w:ind w:left="1276" w:right="15"/>
        <w:jc w:val="both"/>
        <w:rPr>
          <w:rFonts w:cs="Arial"/>
        </w:rPr>
      </w:pPr>
      <w:r w:rsidRPr="00657FED">
        <w:rPr>
          <w:rFonts w:cs="Arial"/>
        </w:rPr>
        <w:t>Pengecualian atas materai (</w:t>
      </w:r>
      <w:r w:rsidRPr="00657FED">
        <w:rPr>
          <w:rFonts w:cs="Arial"/>
          <w:i/>
          <w:iCs/>
        </w:rPr>
        <w:t>stamp duites</w:t>
      </w:r>
      <w:r w:rsidRPr="00657FED">
        <w:rPr>
          <w:rFonts w:cs="Arial"/>
        </w:rPr>
        <w:t>);</w:t>
      </w:r>
    </w:p>
    <w:p w14:paraId="3B45C6BB" w14:textId="77777777" w:rsidR="00F25562" w:rsidRPr="00657FED" w:rsidRDefault="00F25562" w:rsidP="00657FED">
      <w:pPr>
        <w:pStyle w:val="BodyText"/>
        <w:widowControl/>
        <w:numPr>
          <w:ilvl w:val="0"/>
          <w:numId w:val="9"/>
        </w:numPr>
        <w:autoSpaceDE/>
        <w:autoSpaceDN/>
        <w:ind w:left="1276" w:right="15"/>
        <w:jc w:val="both"/>
        <w:rPr>
          <w:rFonts w:cs="Arial"/>
        </w:rPr>
      </w:pPr>
      <w:r w:rsidRPr="00657FED">
        <w:rPr>
          <w:rFonts w:cs="Arial"/>
        </w:rPr>
        <w:t>Pencegahan pajak berganda;</w:t>
      </w:r>
    </w:p>
    <w:p w14:paraId="7EE5D7E2" w14:textId="77777777" w:rsidR="00F25562" w:rsidRPr="00657FED" w:rsidRDefault="00F25562" w:rsidP="00657FED">
      <w:pPr>
        <w:pStyle w:val="BodyText"/>
        <w:widowControl/>
        <w:numPr>
          <w:ilvl w:val="0"/>
          <w:numId w:val="9"/>
        </w:numPr>
        <w:autoSpaceDE/>
        <w:autoSpaceDN/>
        <w:ind w:left="1276" w:right="15"/>
        <w:jc w:val="both"/>
        <w:rPr>
          <w:rFonts w:cs="Arial"/>
        </w:rPr>
      </w:pPr>
      <w:r w:rsidRPr="00657FED">
        <w:rPr>
          <w:rFonts w:cs="Arial"/>
        </w:rPr>
        <w:t>Jaminan atas pengalihan keuntungan dan modal;</w:t>
      </w:r>
    </w:p>
    <w:p w14:paraId="52980524" w14:textId="77777777" w:rsidR="00F25562" w:rsidRPr="00657FED" w:rsidRDefault="00F25562" w:rsidP="00657FED">
      <w:pPr>
        <w:pStyle w:val="BodyText"/>
        <w:widowControl/>
        <w:numPr>
          <w:ilvl w:val="0"/>
          <w:numId w:val="9"/>
        </w:numPr>
        <w:autoSpaceDE/>
        <w:autoSpaceDN/>
        <w:ind w:left="1276" w:right="15"/>
        <w:jc w:val="both"/>
        <w:rPr>
          <w:rFonts w:cs="Arial"/>
        </w:rPr>
      </w:pPr>
      <w:r w:rsidRPr="00657FED">
        <w:rPr>
          <w:rFonts w:cs="Arial"/>
        </w:rPr>
        <w:t>Diberikannya hak-hak atas tanah kepada investor asing; dan</w:t>
      </w:r>
    </w:p>
    <w:p w14:paraId="2D0A22A7" w14:textId="77777777" w:rsidR="00F25562" w:rsidRPr="00657FED" w:rsidRDefault="00F25562" w:rsidP="00657FED">
      <w:pPr>
        <w:pStyle w:val="BodyText"/>
        <w:widowControl/>
        <w:numPr>
          <w:ilvl w:val="0"/>
          <w:numId w:val="9"/>
        </w:numPr>
        <w:autoSpaceDE/>
        <w:autoSpaceDN/>
        <w:ind w:left="1276" w:right="15"/>
        <w:jc w:val="both"/>
        <w:rPr>
          <w:rFonts w:cs="Arial"/>
        </w:rPr>
      </w:pPr>
      <w:r w:rsidRPr="00657FED">
        <w:rPr>
          <w:rFonts w:cs="Arial"/>
        </w:rPr>
        <w:t>Jaminan tidak akan dilakukannya tindakan nasionalisasi selama waktu 20-30 tahun.</w:t>
      </w:r>
    </w:p>
    <w:p w14:paraId="78E01BB5" w14:textId="77777777" w:rsidR="00F25562" w:rsidRPr="00657FED" w:rsidRDefault="00F25562" w:rsidP="00657FED">
      <w:pPr>
        <w:pStyle w:val="BodyText"/>
        <w:ind w:left="426" w:right="15" w:firstLine="425"/>
        <w:jc w:val="both"/>
        <w:rPr>
          <w:rFonts w:cs="Arial"/>
        </w:rPr>
      </w:pPr>
      <w:r w:rsidRPr="00657FED">
        <w:rPr>
          <w:rFonts w:cs="Arial"/>
        </w:rPr>
        <w:t xml:space="preserve">UU Penamaman Modal Asing Pasal 21 menentukan bahwa Pemerintah tidak akan melakukan tindakan nasionalisasi/pencabutan hak milik secara menyeluruh atas perusahaan-perusahaan modal asing atau tindakan-tindakan yang mengurangi hak menguasai dan/atau mengurus perusahaan yang bersangkutan, kecuali jika dengan Undang-undang dinyatakan kepentingan Negara menghendaki tindakan demikian. Namun dalam Pasal 22 ayat (1) UU Penanaman Modal Asing, pemerintah dapat melakukan tindakan nasionalisasi dengan wajib memberikankompensasi/ganti rugi yang jumlah, macam dan cara pembayarannya disetujui oleh kedua belah pihak sesuai dengan asas-asas hukum internasional yang berlaku. Tahun 1997 Indonesia mengalami krisis ekonomi yang diakibatkan oleh perilaku bisnis yang kurang bertanggung jawab yaitu berperilaku buruk dalam menjaga kekuatan perekonomian Indonesia. </w:t>
      </w:r>
    </w:p>
    <w:p w14:paraId="4893F40D" w14:textId="77777777" w:rsidR="00F25562" w:rsidRPr="00657FED" w:rsidRDefault="00F25562" w:rsidP="00657FED">
      <w:pPr>
        <w:pStyle w:val="BodyText"/>
        <w:ind w:left="426" w:right="15" w:firstLine="425"/>
        <w:jc w:val="both"/>
        <w:rPr>
          <w:rFonts w:cs="Arial"/>
        </w:rPr>
      </w:pPr>
      <w:r w:rsidRPr="00657FED">
        <w:rPr>
          <w:rFonts w:cs="Arial"/>
        </w:rPr>
        <w:t xml:space="preserve">Krisis tersebut telah mengubah keadaan dari krisis ekonomi menjadi krisis kepercayaan. Untuk menyikapi hal tersebut pemerintah membuat program pembangunan untuk meningkatkan iklim investasi di indonesia, seperti program Rencana Pembangunan Jangka Menengah Nasional (RPJMN) tahun 2003-2004 dan dilanjutkan prorgam tersebut sampai 2009. Dalam rangka pemenuhan program pembangunan di bidang investasi tersebut, pada tahun 2007, pemerintah telah mengesahkan dan mengundangkan undang-undang di bidang penanaman modal yaitu Undang-Undang Nomor 25 Tahun 2007 tentang Penanaman Modal. Pengaturan ketentuan nasionalisasi dalam Undang-Undang Nomor 25 Tahun 2007, ada satu pasal yang mengatur tentang nasionalisasi yaitu Pasal 7 ayat (1). Ketentuan ini berkaitan dengan kewenangan Pemerintah untuk tidak akan melakukan tindakan nasionalisasi atau pengambilalihan hak kepemilikan penanam modal, kecuali dengan undang-undang. </w:t>
      </w:r>
    </w:p>
    <w:p w14:paraId="6F0675F4" w14:textId="77777777" w:rsidR="00F25562" w:rsidRPr="00657FED" w:rsidRDefault="00F25562" w:rsidP="00657FED">
      <w:pPr>
        <w:pStyle w:val="BodyText"/>
        <w:ind w:left="426" w:right="15" w:firstLine="425"/>
        <w:jc w:val="both"/>
        <w:rPr>
          <w:rFonts w:cs="Arial"/>
        </w:rPr>
      </w:pPr>
      <w:r w:rsidRPr="00657FED">
        <w:rPr>
          <w:rFonts w:cs="Arial"/>
        </w:rPr>
        <w:t xml:space="preserve">Walaupun dalam ketentuan ini Pemerintah tidak akan melakukan nasionalisasi dan divestasi modal, namun dalam ketentuan ayat (2) ditegaskan bahwa dalam hal pemerintah melakukan tindakan nasionalisasi atau pengambilalihan hak kepemilikan, pemerintah akan memberikan kompensasi yang jumlahnya ditetapkan berdasarkan harga pasar. Tindakan nasionalisasi atas perusahaan asing di satu pihak dengan kegiatan investasi pada lain pihak, merupakan dua variabel yang saling bertentangan. Pada variabel kegiatan investasi para investor memerlukan adanya suatu kepastian hukum demi ketenangan untuk berusaha, dan di lain pihak negara penerima modal dengan dalih adanya kesenjangan ekonomi, dan alasan politis lainnya dapat melakukan tindakan nasionalisasi terhadap perusahaan asing di negaranya. Hal ini menjadikan problematika diseputar kegiatan investasi di suatu negara berkembang termasuk Indonesia, mengapa perlu diadakan tindakan nasionalisasi terhadap perusahaan asing, dan apakah perbuatan itu tidak menghambat arus investasi ke negara penerima modal asing. </w:t>
      </w:r>
    </w:p>
    <w:p w14:paraId="65E80CAC" w14:textId="77777777" w:rsidR="00F25562" w:rsidRPr="00657FED" w:rsidRDefault="00F25562" w:rsidP="00657FED">
      <w:pPr>
        <w:pStyle w:val="BodyText"/>
        <w:ind w:left="426" w:right="15" w:firstLine="425"/>
        <w:jc w:val="both"/>
        <w:rPr>
          <w:rFonts w:cs="Arial"/>
        </w:rPr>
      </w:pPr>
      <w:r w:rsidRPr="00657FED">
        <w:rPr>
          <w:rFonts w:cs="Arial"/>
        </w:rPr>
        <w:t>Untuk memahami lebih jauh apa yang dimaksud dengan termitologi penanaman modal (penanaman modal dalam negeri dan penanaman modal asing) dalam UU Penanaman Modal Nomor 25 Tahun 2007 (UUPM) yang mengganti UU yang sebelumnya yaitu Undang-Undang Nomor 1 Tahun 1967 tentang Penanaman Modal Asing dan Undang-Undang Nomor 6 Tahun 1968 tentang Penanaman Modal Dalam Negeri sebagaimana telah diganti dengan Undang-Undang Nomor 12 Tahun 1970 tentang Perubahan dan Tambahan Undang-Undang Nomor 6 Tahun 1968, maka kiranya diuraikan apa yang dimaksud dengan modal (capital) dan penanaman modal (investment) dalam konteks penanaman modal. pemahaman atas kerangka konsepsional sangat penting untuk mengetahui kerangka yuridis pengaturan penanaman modal di indonesia. (Salim HS dan Budi Sutrisno 2008:65)</w:t>
      </w:r>
    </w:p>
    <w:p w14:paraId="123B0638" w14:textId="77777777" w:rsidR="00F25562" w:rsidRPr="00657FED" w:rsidRDefault="00F25562" w:rsidP="00657FED">
      <w:pPr>
        <w:pStyle w:val="BodyText"/>
        <w:ind w:left="426" w:right="15" w:firstLine="425"/>
        <w:jc w:val="both"/>
        <w:rPr>
          <w:rFonts w:cs="Arial"/>
        </w:rPr>
      </w:pPr>
      <w:r w:rsidRPr="00657FED">
        <w:rPr>
          <w:rFonts w:cs="Arial"/>
        </w:rPr>
        <w:t xml:space="preserve">Penanaman Modal diatur dalam Pasal 1 angka 1 UUPM diartikan sebagai segala bentuk kegiatan menanam modal, baik oleh penanaman modal dalam negeri maupun penanam modal asing untuk melakukan usaha di wilayah negara Republik Indonesia. Selanjutnya, dalam ketentuan Pasal 1 angka 2 disebutkan bahwa penanam modal dalam negeri yaitu Kegiatan menanam modal untuk melakukan usaha di wilayah negara Republik Indonesia yang dilakukan oleh penanaman modal dalam begeri dengan menggunakan nodal dalam negeri. Adapun angka 3 disebutkan, bahwa penanaman modal asing yaitu Kegiatan menanam modal usaha untuk melakukan usaha di wilayah negara Republik Indonesia yang dilakukan oleh penanaman modal asing, baik yang menggunakan asing sepenuhnya, maupun yang berpatungan dengan penanamn modal dalam negeri. </w:t>
      </w:r>
    </w:p>
    <w:p w14:paraId="7D6A3CC0" w14:textId="77777777" w:rsidR="00F25562" w:rsidRPr="00657FED" w:rsidRDefault="00F25562" w:rsidP="00657FED">
      <w:pPr>
        <w:pStyle w:val="BodyText"/>
        <w:ind w:left="426" w:right="15" w:firstLine="425"/>
        <w:jc w:val="both"/>
        <w:rPr>
          <w:rFonts w:cs="Arial"/>
        </w:rPr>
      </w:pPr>
      <w:r w:rsidRPr="00657FED">
        <w:rPr>
          <w:rFonts w:cs="Arial"/>
        </w:rPr>
        <w:t>Tindakan Nasionalisasi akan menolak modal asing karena dipandang sebagai alat bagi agen liberalisme dan globalisasi (negara-negara maju dan Lembaga-lembaga internasional pemilik modal) dalam mempertahankan hegemoninya atas negara-negara berkembang dan terbelakang. Oleh nasionalisme ekonomi, modal asing justru dipandang hanya menimbulkan ketergantungan negara penerimanya terhadap negara donor. Setelah terjadi ketergantungan, negara donor bisa memaksakan berbagai ketentuan yang hanya menguntungkan pihaknya, seperti keharusan membuka pasar atau mengadopsi sistem ekonomi dan politik tertentu. Secara singkat, modal asing dipandang akan membahayakan kepentingan nasional. (Salim HS dan Budi Sutrisno 2008:65)</w:t>
      </w:r>
    </w:p>
    <w:p w14:paraId="6FA98A9B" w14:textId="77777777" w:rsidR="00F25562" w:rsidRPr="00657FED" w:rsidRDefault="00F25562" w:rsidP="00657FED">
      <w:pPr>
        <w:pStyle w:val="BodyText"/>
        <w:ind w:left="426" w:right="15" w:firstLine="425"/>
        <w:jc w:val="both"/>
        <w:rPr>
          <w:rFonts w:cs="Arial"/>
        </w:rPr>
      </w:pPr>
    </w:p>
    <w:p w14:paraId="56375C0F" w14:textId="77777777" w:rsidR="00F25562" w:rsidRPr="00657FED" w:rsidRDefault="00F25562" w:rsidP="00657FED">
      <w:pPr>
        <w:pStyle w:val="BodyText"/>
        <w:widowControl/>
        <w:numPr>
          <w:ilvl w:val="0"/>
          <w:numId w:val="3"/>
        </w:numPr>
        <w:autoSpaceDE/>
        <w:autoSpaceDN/>
        <w:ind w:left="709" w:right="15" w:hanging="284"/>
        <w:jc w:val="both"/>
        <w:rPr>
          <w:rFonts w:cs="Arial"/>
          <w:b/>
          <w:bCs/>
        </w:rPr>
      </w:pPr>
      <w:r w:rsidRPr="00657FED">
        <w:rPr>
          <w:rFonts w:cs="Arial"/>
          <w:b/>
          <w:bCs/>
        </w:rPr>
        <w:t>Pengambilalihan Perusahaan Penanaman Modal Asing Menurut Ketentuan Undang-Undang Nomor 25 Tahun 2007 Tentang Penanaman Modal</w:t>
      </w:r>
    </w:p>
    <w:p w14:paraId="24D3A01D" w14:textId="77777777" w:rsidR="00F25562" w:rsidRPr="00657FED" w:rsidRDefault="00F25562" w:rsidP="00657FED">
      <w:pPr>
        <w:pStyle w:val="BodyText"/>
        <w:ind w:left="426" w:right="15" w:firstLine="425"/>
        <w:jc w:val="both"/>
        <w:rPr>
          <w:rFonts w:cs="Arial"/>
          <w:lang w:val="en-ID"/>
        </w:rPr>
      </w:pPr>
      <w:r w:rsidRPr="00657FED">
        <w:rPr>
          <w:rFonts w:cs="Arial"/>
          <w:lang w:val="en-ID"/>
        </w:rPr>
        <w:t xml:space="preserve">Salah satu permasalahan yang timbul dalam penanaman modal asing adalah pengambilalihan atau nasionalisasi perusahaan asing. Nasionalisasi perusahaan asing di Indonesia pertama kali saat perjuangan mengembalikan Irian Barat pada tahun 1958 dengan adanya </w:t>
      </w:r>
      <w:proofErr w:type="spellStart"/>
      <w:r w:rsidRPr="00657FED">
        <w:rPr>
          <w:rFonts w:cs="Arial"/>
          <w:lang w:val="en-ID"/>
        </w:rPr>
        <w:t>Undang-undang</w:t>
      </w:r>
      <w:proofErr w:type="spellEnd"/>
      <w:r w:rsidRPr="00657FED">
        <w:rPr>
          <w:rFonts w:cs="Arial"/>
          <w:lang w:val="en-ID"/>
        </w:rPr>
        <w:t xml:space="preserve"> No. 86 tahun 1958 tentang Nasionalisasi Perusahaan-Perusahaan Milik Belanda. Nasionalisasi kedua pada tahun 1962, pada waktu Indonesia berkonfrontasi dengan Malaysia, yang disebabkan karena adanya ketimpangan ekonomi rakyat dan politik hukum </w:t>
      </w:r>
      <w:proofErr w:type="spellStart"/>
      <w:r w:rsidRPr="00657FED">
        <w:rPr>
          <w:rFonts w:cs="Arial"/>
          <w:lang w:val="en-ID"/>
        </w:rPr>
        <w:t>nasionaliasi</w:t>
      </w:r>
      <w:proofErr w:type="spellEnd"/>
      <w:r w:rsidRPr="00657FED">
        <w:rPr>
          <w:rFonts w:cs="Arial"/>
          <w:lang w:val="en-ID"/>
        </w:rPr>
        <w:t xml:space="preserve"> yang merupakan salah satu upaya pemerintah untuk meredam amarah rakyat, dan bertujuan untuk meminimalisir terjadinya kesenjangan ekonomi rakyat di era tersebut. (</w:t>
      </w:r>
      <w:proofErr w:type="spellStart"/>
      <w:r w:rsidRPr="00657FED">
        <w:rPr>
          <w:rFonts w:cs="Arial"/>
          <w:lang w:val="en-ID"/>
        </w:rPr>
        <w:t>Huala</w:t>
      </w:r>
      <w:proofErr w:type="spellEnd"/>
      <w:r w:rsidRPr="00657FED">
        <w:rPr>
          <w:rFonts w:cs="Arial"/>
          <w:lang w:val="en-ID"/>
        </w:rPr>
        <w:t xml:space="preserve"> Adolf 2004:53)</w:t>
      </w:r>
    </w:p>
    <w:p w14:paraId="65B24B41" w14:textId="77777777" w:rsidR="00F25562" w:rsidRPr="00657FED" w:rsidRDefault="00F25562" w:rsidP="00657FED">
      <w:pPr>
        <w:pStyle w:val="BodyText"/>
        <w:ind w:left="426" w:right="15" w:firstLine="425"/>
        <w:jc w:val="both"/>
        <w:rPr>
          <w:rFonts w:cs="Arial"/>
          <w:lang w:val="en-ID"/>
        </w:rPr>
      </w:pPr>
      <w:r w:rsidRPr="00657FED">
        <w:rPr>
          <w:rFonts w:cs="Arial"/>
        </w:rPr>
        <w:t xml:space="preserve">Dengan adanya Undang-undang No. 25 Tahun 2007 tentang Penanaman Modal, dalam pasal (7) dikatakan pemerintah tidak akan melakukan tindakan pengambilalihan, kecuali dengan undang-undang. Kata kecuali dengan undang-undang menunjukan bahwa diperbolehkannya pengambilalihan yang didasarkan pada dibuatnya undang-undang oleh pemerintah, misalnya pada tahun 1958 pengambilalihan perusahaan milik belanda dengan dikeluarkannya UU No. 86 tahun 1958. Dalam Undang-undang penanaman modal tidak menyertakan syarat pengambilalihan perusahaan asing, namun secara umum pengambilalihan terjadi atas dasar Pasal 33 UUD 1945 ayat 2 dan 3 yang berbunyi cabang produksi yang penting bagi negara dan menguasai hajat hidup orang banyak, serta sumber daya alam dikuasai oleh negara dan digunakan sebesar-besarnya untuk kesejahteran rakyat, alasan ekonomi seperti nasionalisasi perusahaan asing yang memegang peran vital dalam rangka menyelamatkan perusahaan tersebut dari kebangkrutan, sebab bila kebangkrutan terjadi dapat menimbulkan keguncangan ekonomi, dan menurut UU No. 1 tahun 1967 Pasal (21) nasionalisasi dilakukan jika dengan Undang-undang dinyatakan kepentingan Negara menghendaki tindakan demikian. Bila nantinya terjadi pengambialihan akan diberikan kompensasi atau penggantian sejumlah uang sesuai harga pasar yaitu harga yang ditentukan menurut cara yang digunakan secara internasional oleh penilai independen yang ditunjuk oleh para pihak, dan jika tidak tercapai kesepakatan maka penyelesaian sengketa investasi akan dibawa pada lembaga arbitrase. </w:t>
      </w:r>
      <w:r w:rsidRPr="00657FED">
        <w:rPr>
          <w:rFonts w:cs="Arial"/>
          <w:lang w:val="en-ID"/>
        </w:rPr>
        <w:t>(</w:t>
      </w:r>
      <w:proofErr w:type="spellStart"/>
      <w:r w:rsidRPr="00657FED">
        <w:rPr>
          <w:rFonts w:cs="Arial"/>
          <w:lang w:val="en-ID"/>
        </w:rPr>
        <w:t>Huala</w:t>
      </w:r>
      <w:proofErr w:type="spellEnd"/>
      <w:r w:rsidRPr="00657FED">
        <w:rPr>
          <w:rFonts w:cs="Arial"/>
          <w:lang w:val="en-ID"/>
        </w:rPr>
        <w:t xml:space="preserve"> Adolf 2004:54)</w:t>
      </w:r>
    </w:p>
    <w:p w14:paraId="03FDEAD6" w14:textId="77777777" w:rsidR="00F25562" w:rsidRPr="00657FED" w:rsidRDefault="00F25562" w:rsidP="00657FED">
      <w:pPr>
        <w:pStyle w:val="BodyText"/>
        <w:ind w:left="426" w:right="15" w:firstLine="425"/>
        <w:jc w:val="both"/>
        <w:rPr>
          <w:rFonts w:cs="Arial"/>
        </w:rPr>
      </w:pPr>
      <w:r w:rsidRPr="00657FED">
        <w:rPr>
          <w:rFonts w:cs="Arial"/>
        </w:rPr>
        <w:t xml:space="preserve">Akibat maraknya persaingan di dunia bisnis dan perkembangan globalisasi membuat akuisisi tidak hanya melibatkan satu negara.Perusahaan-perusahaan mulai memperluas pasarnya dengan melibatkan perusahaan-perusahaan lain yang berada di luar negeri melalui penanaman modal asing. Berdasarkan Pasal 5 ayat (2) Undang-Undang Nomor 25 Tahun 2007 Tentang Penanaman Modal, Penanaman modal asing hanya dapat dilakukan dengan membeli saham suatu perusahaan yang berbentuk PT dan berkedudukan di Indonesia. </w:t>
      </w:r>
    </w:p>
    <w:p w14:paraId="3F26CEA3" w14:textId="77777777" w:rsidR="00F25562" w:rsidRPr="00657FED" w:rsidRDefault="00F25562" w:rsidP="00657FED">
      <w:pPr>
        <w:pStyle w:val="BodyText"/>
        <w:ind w:left="426" w:right="15" w:firstLine="425"/>
        <w:jc w:val="both"/>
        <w:rPr>
          <w:rFonts w:cs="Arial"/>
        </w:rPr>
      </w:pPr>
      <w:r w:rsidRPr="00657FED">
        <w:rPr>
          <w:rFonts w:cs="Arial"/>
        </w:rPr>
        <w:t xml:space="preserve">Salah satu contoh perusahaan di Indonesia yang telah resmi diakuisisi oleh perusahaan asing pada bidang perbankan yaitu Bangkok Bank Public Company Limited telah menyelesaikan akuisisi atas 89,12% kepemilikan saham PT. Astra Internasional Tbk dan Standart Chartered Plc di PT Bank Permata pada Rabu (20/05/2020). Akuisisi tersebut senilai Rp.33,66 triliun dengan harga pelaksanaan Rp.1.347 per saham. Akuisisi perusahaan nasional oleh perusahaan asing ini lebih kompleks daripada akuisisi biasa. Akuisisi oleh perusahaan asing tentu akan melibatkan Warga Negara Asing ataupun Pelaku Usaha Asing sehingga terdapat perbedaan hukum yang berlaku, dan prosedur antara perusahaan pengakuisisi dan perusahaan yang diakuisisi. Sehingga menimbulkan pertanyaan bagaimana pengaturan dan ketentuan mengenai akuisisi yang dilakukan oleh perusahaan asing terhadap perusahaan di Indonesia jika dikaji dari hukum positif yang berlaku di Indonesia. </w:t>
      </w:r>
    </w:p>
    <w:p w14:paraId="4ED21436" w14:textId="77777777" w:rsidR="00F25562" w:rsidRPr="00657FED" w:rsidRDefault="00F25562" w:rsidP="00657FED">
      <w:pPr>
        <w:pStyle w:val="BodyText"/>
        <w:ind w:left="426" w:right="15" w:firstLine="425"/>
        <w:jc w:val="both"/>
        <w:rPr>
          <w:rFonts w:cs="Arial"/>
        </w:rPr>
      </w:pPr>
      <w:r w:rsidRPr="00657FED">
        <w:rPr>
          <w:rFonts w:cs="Arial"/>
        </w:rPr>
        <w:t xml:space="preserve">Bangkok Bank resmi menjadi pemegang saham pengendali Bank Permata setelah mengambilalih 89,12% saham Bank Permata dari seluruh jumlah saham yang telah ditempatkan dan disetor oleh Standard Chartered Bank dan PT.Astra Internasional Tbk. (Syahrizal Sidik 2020: CNBC Indonesia) Bank Permata yang semula dimiliki oleh Standard Chartered Bank dan PT Astra International Tbk yang telah dialihkan kepada Bangkok Bank Public Company Limited (“Bangkok Bank”) berdasarkan Akta Pengambilalihan No. 19 tanggal 20 Mei 2020 yang dibuat di hadapan Aulia Taufani, S.H., Notaris di Jakarta Selatan. Setelah ada kesepakatan antara pihak yang mengakuisisi dan pemegang saham digelar Rapat Umum Pemegang Saham Luar Biasa untuk menyetujui rancangan pengambilalihan telah dilakukan pada 5 Maret 2020 di kantor pusat Bangkok Bank, Thailand. Berdasarkan keterbukan informasi yang disampaikan bursa efek Thailand sebanyak 85,46% pemegang saham menyetujui rencana akuisisi dan 14,34% menolak rencana akuisisi tersebut sedangkan sisanya tidak memberikan suara. (Anggara Pernando 2023 Bisnis.com) </w:t>
      </w:r>
    </w:p>
    <w:p w14:paraId="6C5E4304" w14:textId="77777777" w:rsidR="00F25562" w:rsidRPr="00657FED" w:rsidRDefault="00F25562" w:rsidP="00657FED">
      <w:pPr>
        <w:pStyle w:val="BodyText"/>
        <w:ind w:left="426" w:right="15" w:firstLine="425"/>
        <w:jc w:val="both"/>
        <w:rPr>
          <w:rFonts w:cs="Arial"/>
        </w:rPr>
      </w:pPr>
      <w:r w:rsidRPr="00657FED">
        <w:rPr>
          <w:rFonts w:cs="Arial"/>
        </w:rPr>
        <w:t xml:space="preserve">Dilihat dari jumlah suara yang diperoleh dalam RUPSLB lebih dari ¾ jumlah suara menyetujui maka berdasarkan ketentuan Pasal 87 UU PT keputusan akuisisi dikatakan sah. Sebagai lembaga yang mengatur, mengawasi dan melindungi sektor jasa keuangan, OJK mengatur batas maksimum kepemilikan saham yang diatur dalam Pasal 2 Peraturan Otoritas Jasa Keuangan Nomor 56/POJK.03/2016 Tentang Kepemilikan Saham Bank Umum yaitu: </w:t>
      </w:r>
    </w:p>
    <w:p w14:paraId="773DE3C4" w14:textId="77777777" w:rsidR="00F25562" w:rsidRPr="00657FED" w:rsidRDefault="00F25562" w:rsidP="00657FED">
      <w:pPr>
        <w:pStyle w:val="BodyText"/>
        <w:widowControl/>
        <w:numPr>
          <w:ilvl w:val="0"/>
          <w:numId w:val="6"/>
        </w:numPr>
        <w:autoSpaceDE/>
        <w:autoSpaceDN/>
        <w:ind w:left="426" w:right="15"/>
        <w:jc w:val="both"/>
        <w:rPr>
          <w:rFonts w:cs="Arial"/>
        </w:rPr>
      </w:pPr>
      <w:r w:rsidRPr="00657FED">
        <w:rPr>
          <w:rFonts w:cs="Arial"/>
        </w:rPr>
        <w:t xml:space="preserve">Batas maksimum kepemilikan saham pada Bank bagi setiap kategori pemegang saham ditetapkan: </w:t>
      </w:r>
    </w:p>
    <w:p w14:paraId="1C57C506" w14:textId="77777777" w:rsidR="00F25562" w:rsidRPr="00657FED" w:rsidRDefault="00F25562" w:rsidP="00657FED">
      <w:pPr>
        <w:pStyle w:val="BodyText"/>
        <w:widowControl/>
        <w:numPr>
          <w:ilvl w:val="0"/>
          <w:numId w:val="7"/>
        </w:numPr>
        <w:autoSpaceDE/>
        <w:autoSpaceDN/>
        <w:ind w:left="851" w:right="15"/>
        <w:jc w:val="both"/>
        <w:rPr>
          <w:rFonts w:cs="Arial"/>
        </w:rPr>
      </w:pPr>
      <w:r w:rsidRPr="00657FED">
        <w:rPr>
          <w:rFonts w:cs="Arial"/>
        </w:rPr>
        <w:t xml:space="preserve">40% (empat puluh persen) dari Modal Bank, untuk kategori pemegang saham berupa badan hukum lembaga keuangan bank dan lembaga keuangan bukan bank; </w:t>
      </w:r>
    </w:p>
    <w:p w14:paraId="6E2E4387" w14:textId="77777777" w:rsidR="00F25562" w:rsidRPr="00657FED" w:rsidRDefault="00F25562" w:rsidP="00657FED">
      <w:pPr>
        <w:pStyle w:val="BodyText"/>
        <w:widowControl/>
        <w:numPr>
          <w:ilvl w:val="0"/>
          <w:numId w:val="7"/>
        </w:numPr>
        <w:autoSpaceDE/>
        <w:autoSpaceDN/>
        <w:ind w:left="851" w:right="15"/>
        <w:jc w:val="both"/>
        <w:rPr>
          <w:rFonts w:cs="Arial"/>
        </w:rPr>
      </w:pPr>
      <w:r w:rsidRPr="00657FED">
        <w:rPr>
          <w:rFonts w:cs="Arial"/>
        </w:rPr>
        <w:t xml:space="preserve">30% (tiga puluh persen) dari Modal Bank, untuk kategori pemegang saham berupa badan hukum bukan lembaga keuangan; dan </w:t>
      </w:r>
    </w:p>
    <w:p w14:paraId="7FE195C3" w14:textId="77777777" w:rsidR="00F25562" w:rsidRPr="00657FED" w:rsidRDefault="00F25562" w:rsidP="00657FED">
      <w:pPr>
        <w:pStyle w:val="BodyText"/>
        <w:widowControl/>
        <w:numPr>
          <w:ilvl w:val="0"/>
          <w:numId w:val="7"/>
        </w:numPr>
        <w:autoSpaceDE/>
        <w:autoSpaceDN/>
        <w:ind w:left="851" w:right="15"/>
        <w:jc w:val="both"/>
        <w:rPr>
          <w:rFonts w:cs="Arial"/>
        </w:rPr>
      </w:pPr>
      <w:r w:rsidRPr="00657FED">
        <w:rPr>
          <w:rFonts w:cs="Arial"/>
        </w:rPr>
        <w:t xml:space="preserve">20% (dua puluh persen) dari Modal Bank, untuk kategori pemegang saham perorangan. </w:t>
      </w:r>
    </w:p>
    <w:p w14:paraId="6889DFDA" w14:textId="77777777" w:rsidR="00F25562" w:rsidRPr="00657FED" w:rsidRDefault="00F25562" w:rsidP="00657FED">
      <w:pPr>
        <w:pStyle w:val="BodyText"/>
        <w:ind w:left="426" w:right="17" w:firstLine="425"/>
        <w:jc w:val="both"/>
        <w:rPr>
          <w:rFonts w:cs="Arial"/>
        </w:rPr>
      </w:pPr>
      <w:r w:rsidRPr="00657FED">
        <w:rPr>
          <w:rFonts w:cs="Arial"/>
        </w:rPr>
        <w:t xml:space="preserve">Pada kasus akuisisi antara Bank Permata dan Bangkok Bank dimana Bangkok Bank memiliki kepemilikan saham sebesar 89,12% tidak sesuai dengan ketentuan Pasal 2 Ayat 2 POJK Nomor 56/POJK.03/2016 Tentang Kepemilikan Saham Bank Umum. Seperti yang telah ditentukan dalam Ketentuan dalam Pasal-pasal mengatur bahwa untuk lembaga keuangan bank maupun bukan bank memiliki batas maksimum kepemilikan saham sebesar 40%. Namun diberikan pengecualian dalam Pasal 6 bahwa badan hukum lembaga keuangan bank dapat memiliki saham bank lebih dari 40% dari modal bank sepanjang memperoleh persetujuan Otoritas Jasa Keuangan. Dalam hal ini OJK telah memberikan persetujuan terkait kepemilikan saham Bangkok Bank pada Bank Permata yang lebih dari 40%. Kepala Eksekutif Pengawas Perbankan OJK Heru Kristiyana menjelaskan bahwa OJK mempunyaiaturan terkait kepemilikan saham mayoritas yaitu Pasal 19 POJK Nomor 56/POJK.03/2016. OJK memberikan izin atas kepemilikan saham mayoritas dengan pertimbangan bahwa Bangkok Bank harus memberikan kontribusi ke perekonomian Indonesia atau membeli lebih dari satu entitas bank dan menggabungkannya. (Heru Kristiyana 2023 CNBC Indonesia) </w:t>
      </w:r>
    </w:p>
    <w:p w14:paraId="00F290FD" w14:textId="77777777" w:rsidR="00F25562" w:rsidRPr="00657FED" w:rsidRDefault="00F25562" w:rsidP="00657FED">
      <w:pPr>
        <w:pStyle w:val="BodyText"/>
        <w:ind w:left="426" w:right="17" w:firstLine="425"/>
        <w:jc w:val="both"/>
        <w:rPr>
          <w:rFonts w:cs="Arial"/>
        </w:rPr>
      </w:pPr>
      <w:r w:rsidRPr="00657FED">
        <w:rPr>
          <w:rFonts w:cs="Arial"/>
        </w:rPr>
        <w:t>Untuk memenuhi persyaratan OJK atas kepemilikan saham lebih dari 40% Bangkok Bank telah menyelesaikan integrasi antara Bangkok Bank Indonesia dan Bank Permata per Desember 2020. Integrasi diselesaikan dengan cara mengalihkan asset dengan kualitas baik dan liabilitas tertentu yang merupakan objek integrasi dari Bangkok Bank Indonesia dengan mematuhi ketentuan POJK Nomor 41/POJK.03/2019 Tentang Penggabungan, peleburan, pengambilalihan, Integrasi, dan Konversi Bank Umum. 13Sehingga pelaksanaan akuisisi Bank Permata telah sesuai dengan ketentuan peraturan perundang-undangan yang berlaku. Selain mengakibatkan perubahan pengendali, pelaksanaan akuisisi Bank Permata dengan adanya perubahan modal yang awalnya dikategorikan sebagai Bank BUKU III kini menjadi Bank BUKU IV.Setelah mendapat konfirmasi dari Otoritas Jasa Keuangan (OJK) dengan jumlah modal inti diatas Rp30 triliun, Bank Permata telah memenuhi batasan modal inti minimum untuk digolongkan sebagai Bank Umum Kegiatan Usaha IV.Bank Permata kini menjadi salah satu bank dari 10 institusi perbankan terbaik di Indonesia.</w:t>
      </w:r>
    </w:p>
    <w:p w14:paraId="369DDD32" w14:textId="77777777" w:rsidR="00F40CA0" w:rsidRPr="00657FED" w:rsidRDefault="00F40CA0" w:rsidP="00657FED">
      <w:pPr>
        <w:pStyle w:val="BodyText"/>
        <w:ind w:left="426" w:right="17"/>
        <w:jc w:val="center"/>
        <w:rPr>
          <w:rFonts w:cs="Arial"/>
          <w:b/>
          <w:color w:val="000000"/>
        </w:rPr>
      </w:pPr>
    </w:p>
    <w:p w14:paraId="68596301" w14:textId="6C41E292" w:rsidR="0066236E" w:rsidRPr="00657FED" w:rsidRDefault="002B2802" w:rsidP="00657FED">
      <w:pPr>
        <w:pStyle w:val="BodyText"/>
        <w:ind w:left="426" w:right="17"/>
        <w:jc w:val="center"/>
        <w:rPr>
          <w:rFonts w:cs="Arial"/>
          <w:b/>
          <w:color w:val="000000"/>
        </w:rPr>
      </w:pPr>
      <w:r w:rsidRPr="00657FED">
        <w:rPr>
          <w:rFonts w:cs="Arial"/>
          <w:b/>
          <w:color w:val="000000"/>
        </w:rPr>
        <w:t>SIMPULAN</w:t>
      </w:r>
    </w:p>
    <w:p w14:paraId="48381E3D" w14:textId="1842CCCC" w:rsidR="0066236E" w:rsidRPr="00657FED" w:rsidRDefault="00AE6167" w:rsidP="00657FED">
      <w:pPr>
        <w:pBdr>
          <w:top w:val="nil"/>
          <w:left w:val="nil"/>
          <w:bottom w:val="nil"/>
          <w:right w:val="nil"/>
          <w:between w:val="nil"/>
        </w:pBdr>
        <w:ind w:left="426" w:right="136" w:firstLine="708"/>
        <w:jc w:val="both"/>
        <w:rPr>
          <w:rFonts w:cs="Arial"/>
          <w:color w:val="000000"/>
          <w:sz w:val="24"/>
          <w:szCs w:val="24"/>
        </w:rPr>
      </w:pPr>
      <w:r w:rsidRPr="00657FED">
        <w:rPr>
          <w:rFonts w:cs="Arial"/>
          <w:sz w:val="24"/>
          <w:szCs w:val="24"/>
        </w:rPr>
        <w:t>Penelitian ini dapat disimpulkan bahwa dengan adanya UU No. 25 Tahun 2007 pengambilalihan perusahaan asing tidak akan dilakukan yang tercantum dalam pasal 7 bila terjadi pengambilalihan akan diikuti kompensasi sesuai harga pasar internasional dan bila tidak mendapat kesepakatan kompensasi maka penyelesaian sengketa investasi akan dibawa pada Lembaga arbitrase. Perlindungan hukum investor terhadap pengambilalihan perusahan penanaman modal asing di Indonesia, salah satunya dengan membuat perjanjian bilateral yang berbentuk perjanjian investasi dengan berbagai negara asal investor.</w:t>
      </w:r>
    </w:p>
    <w:p w14:paraId="133C0064" w14:textId="77777777" w:rsidR="00657FED" w:rsidRDefault="00657FED" w:rsidP="00657FED">
      <w:pPr>
        <w:pBdr>
          <w:top w:val="nil"/>
          <w:left w:val="nil"/>
          <w:bottom w:val="nil"/>
          <w:right w:val="nil"/>
          <w:between w:val="nil"/>
        </w:pBdr>
        <w:ind w:left="426"/>
        <w:jc w:val="center"/>
        <w:rPr>
          <w:rFonts w:cs="Arial"/>
          <w:b/>
          <w:color w:val="000000"/>
          <w:sz w:val="24"/>
          <w:szCs w:val="24"/>
        </w:rPr>
      </w:pPr>
    </w:p>
    <w:p w14:paraId="3C6089BD" w14:textId="29D609A0" w:rsidR="0066236E" w:rsidRPr="00657FED" w:rsidRDefault="002B2802" w:rsidP="00657FED">
      <w:pPr>
        <w:pBdr>
          <w:top w:val="nil"/>
          <w:left w:val="nil"/>
          <w:bottom w:val="nil"/>
          <w:right w:val="nil"/>
          <w:between w:val="nil"/>
        </w:pBdr>
        <w:ind w:left="426"/>
        <w:jc w:val="center"/>
        <w:rPr>
          <w:rFonts w:cs="Arial"/>
          <w:b/>
          <w:color w:val="000000"/>
          <w:sz w:val="24"/>
          <w:szCs w:val="24"/>
        </w:rPr>
      </w:pPr>
      <w:r w:rsidRPr="00657FED">
        <w:rPr>
          <w:rFonts w:cs="Arial"/>
          <w:b/>
          <w:color w:val="000000"/>
          <w:sz w:val="24"/>
          <w:szCs w:val="24"/>
        </w:rPr>
        <w:t>DAFTAR PUSTAKA</w:t>
      </w:r>
    </w:p>
    <w:p w14:paraId="36FAEF36" w14:textId="77777777" w:rsidR="00F40CA0" w:rsidRPr="00657FED" w:rsidRDefault="00F40CA0" w:rsidP="00657FED">
      <w:pPr>
        <w:ind w:left="993" w:right="17" w:hanging="567"/>
        <w:jc w:val="both"/>
        <w:rPr>
          <w:rFonts w:cs="Arial"/>
          <w:sz w:val="24"/>
          <w:szCs w:val="24"/>
        </w:rPr>
      </w:pPr>
      <w:r w:rsidRPr="00657FED">
        <w:rPr>
          <w:rFonts w:cs="Arial"/>
          <w:sz w:val="24"/>
          <w:szCs w:val="24"/>
        </w:rPr>
        <w:t xml:space="preserve">Ismail Sunny dan Rudioro Rochmat, 1976. Tinjauan dan pembahasan UU PMA dan Kredit Luar Negeri, Jakarta: Pradnya Paramitha; </w:t>
      </w:r>
    </w:p>
    <w:p w14:paraId="53B7C714" w14:textId="77777777" w:rsidR="00F40CA0" w:rsidRPr="00657FED" w:rsidRDefault="00F40CA0" w:rsidP="00657FED">
      <w:pPr>
        <w:ind w:left="993" w:right="17" w:hanging="567"/>
        <w:jc w:val="both"/>
        <w:rPr>
          <w:rFonts w:cs="Arial"/>
          <w:sz w:val="24"/>
          <w:szCs w:val="24"/>
        </w:rPr>
      </w:pPr>
      <w:r w:rsidRPr="00657FED">
        <w:rPr>
          <w:rFonts w:cs="Arial"/>
          <w:sz w:val="24"/>
          <w:szCs w:val="24"/>
        </w:rPr>
        <w:t xml:space="preserve">Huala Adolf, 2004. Perjanjian Penanaman Modal Dalam Hukum Perdagangan Internasional (WTO), Jakarta: Raja Grafindo Persada; </w:t>
      </w:r>
    </w:p>
    <w:p w14:paraId="4C5D29A6" w14:textId="77777777" w:rsidR="00F40CA0" w:rsidRPr="00657FED" w:rsidRDefault="00F40CA0" w:rsidP="00657FED">
      <w:pPr>
        <w:ind w:left="993" w:right="17" w:hanging="567"/>
        <w:jc w:val="both"/>
        <w:rPr>
          <w:rFonts w:cs="Arial"/>
          <w:sz w:val="24"/>
          <w:szCs w:val="24"/>
        </w:rPr>
      </w:pPr>
      <w:r w:rsidRPr="00657FED">
        <w:rPr>
          <w:rFonts w:cs="Arial"/>
          <w:sz w:val="24"/>
          <w:szCs w:val="24"/>
        </w:rPr>
        <w:t xml:space="preserve">Johny Ibrahim, 2005. </w:t>
      </w:r>
      <w:r w:rsidRPr="00657FED">
        <w:rPr>
          <w:rFonts w:cs="Arial"/>
          <w:i/>
          <w:iCs/>
          <w:sz w:val="24"/>
          <w:szCs w:val="24"/>
        </w:rPr>
        <w:t xml:space="preserve">Teori dan Metode Penelitian Hukum Normatif, </w:t>
      </w:r>
      <w:r w:rsidRPr="00657FED">
        <w:rPr>
          <w:rFonts w:cs="Arial"/>
          <w:sz w:val="24"/>
          <w:szCs w:val="24"/>
        </w:rPr>
        <w:t xml:space="preserve">Malang: Bayumedia Publishing; </w:t>
      </w:r>
    </w:p>
    <w:p w14:paraId="2D13A7E9" w14:textId="77777777" w:rsidR="00F40CA0" w:rsidRPr="00657FED" w:rsidRDefault="00F40CA0" w:rsidP="00657FED">
      <w:pPr>
        <w:ind w:left="993" w:right="17" w:hanging="567"/>
        <w:jc w:val="both"/>
        <w:rPr>
          <w:rFonts w:cs="Arial"/>
          <w:sz w:val="24"/>
          <w:szCs w:val="24"/>
        </w:rPr>
      </w:pPr>
      <w:r w:rsidRPr="00657FED">
        <w:rPr>
          <w:rFonts w:cs="Arial"/>
          <w:sz w:val="24"/>
          <w:szCs w:val="24"/>
        </w:rPr>
        <w:t xml:space="preserve">Peter Mahmud Marzuki, 2009. </w:t>
      </w:r>
      <w:r w:rsidRPr="00657FED">
        <w:rPr>
          <w:rFonts w:cs="Arial"/>
          <w:i/>
          <w:sz w:val="24"/>
          <w:szCs w:val="24"/>
        </w:rPr>
        <w:t xml:space="preserve">Penelitian Hukum, </w:t>
      </w:r>
      <w:r w:rsidRPr="00657FED">
        <w:rPr>
          <w:rFonts w:cs="Arial"/>
          <w:sz w:val="24"/>
          <w:szCs w:val="24"/>
        </w:rPr>
        <w:t>Jakarta: Kencana;</w:t>
      </w:r>
    </w:p>
    <w:p w14:paraId="661D70FB" w14:textId="77777777" w:rsidR="00F40CA0" w:rsidRPr="00657FED" w:rsidRDefault="00F40CA0" w:rsidP="00657FED">
      <w:pPr>
        <w:ind w:left="993" w:right="17" w:hanging="567"/>
        <w:jc w:val="both"/>
        <w:rPr>
          <w:rFonts w:cs="Arial"/>
          <w:sz w:val="24"/>
          <w:szCs w:val="24"/>
        </w:rPr>
      </w:pPr>
      <w:r w:rsidRPr="00657FED">
        <w:rPr>
          <w:rFonts w:cs="Arial"/>
          <w:sz w:val="24"/>
          <w:szCs w:val="24"/>
        </w:rPr>
        <w:t>Salim HS dan Budi Sutrisno, 2008. Hukum Investasi Di Indonesia, Jakarta: RajaGrafindo Persada;</w:t>
      </w:r>
    </w:p>
    <w:p w14:paraId="12843723" w14:textId="77777777" w:rsidR="00F40CA0" w:rsidRPr="00657FED" w:rsidRDefault="00F40CA0" w:rsidP="00657FED">
      <w:pPr>
        <w:ind w:left="993" w:right="17" w:hanging="567"/>
        <w:jc w:val="both"/>
        <w:rPr>
          <w:rFonts w:cs="Arial"/>
          <w:sz w:val="24"/>
          <w:szCs w:val="24"/>
        </w:rPr>
      </w:pPr>
      <w:r w:rsidRPr="00657FED">
        <w:rPr>
          <w:rFonts w:cs="Arial"/>
          <w:sz w:val="24"/>
          <w:szCs w:val="24"/>
        </w:rPr>
        <w:t xml:space="preserve">Sentosa Sembiring, 2007. Hukum Investasi, Bandung: Nuansa Aulia </w:t>
      </w:r>
    </w:p>
    <w:p w14:paraId="7543E70B" w14:textId="77777777" w:rsidR="00F40CA0" w:rsidRPr="00657FED" w:rsidRDefault="00F40CA0" w:rsidP="00657FED">
      <w:pPr>
        <w:ind w:left="993" w:right="17" w:hanging="567"/>
        <w:jc w:val="both"/>
        <w:rPr>
          <w:rFonts w:cs="Arial"/>
          <w:sz w:val="24"/>
          <w:szCs w:val="24"/>
        </w:rPr>
      </w:pPr>
      <w:r w:rsidRPr="00657FED">
        <w:rPr>
          <w:rFonts w:cs="Arial"/>
          <w:sz w:val="24"/>
          <w:szCs w:val="24"/>
        </w:rPr>
        <w:t>Sentosa Sembiring, 2009. Hukum Investasi : Pembahasan Dilengkapi dengan Undang-Undang Nomor 25 Tahun 2007 Tentang Penanaman Modal, Bandung: CV Nuansa Aulia;</w:t>
      </w:r>
    </w:p>
    <w:p w14:paraId="49038D14" w14:textId="77777777" w:rsidR="00F40CA0" w:rsidRPr="00657FED" w:rsidRDefault="00F40CA0" w:rsidP="00657FED">
      <w:pPr>
        <w:ind w:left="993" w:right="17" w:hanging="567"/>
        <w:jc w:val="both"/>
        <w:rPr>
          <w:rFonts w:cs="Arial"/>
          <w:sz w:val="24"/>
          <w:szCs w:val="24"/>
        </w:rPr>
      </w:pPr>
      <w:r w:rsidRPr="00657FED">
        <w:rPr>
          <w:rFonts w:cs="Arial"/>
          <w:sz w:val="24"/>
          <w:szCs w:val="24"/>
        </w:rPr>
        <w:t xml:space="preserve">Soerjono Soekanto dan Sri Mamudji, 2015. </w:t>
      </w:r>
      <w:r w:rsidRPr="00657FED">
        <w:rPr>
          <w:rFonts w:cs="Arial"/>
          <w:i/>
          <w:iCs/>
          <w:sz w:val="24"/>
          <w:szCs w:val="24"/>
        </w:rPr>
        <w:t xml:space="preserve">Penelitian Hukum Normatif: Suatu Tinjauan Singkat, </w:t>
      </w:r>
      <w:r w:rsidRPr="00657FED">
        <w:rPr>
          <w:rFonts w:cs="Arial"/>
          <w:sz w:val="24"/>
          <w:szCs w:val="24"/>
        </w:rPr>
        <w:t xml:space="preserve">Jakarta: Rajawali Pers; </w:t>
      </w:r>
    </w:p>
    <w:p w14:paraId="445AE3B5" w14:textId="28480A50" w:rsidR="0066236E" w:rsidRPr="00657FED" w:rsidRDefault="00F40CA0" w:rsidP="00657FED">
      <w:pPr>
        <w:tabs>
          <w:tab w:val="left" w:pos="568"/>
        </w:tabs>
        <w:ind w:left="426" w:right="80"/>
        <w:jc w:val="both"/>
        <w:rPr>
          <w:rFonts w:cs="Arial"/>
          <w:sz w:val="24"/>
          <w:szCs w:val="24"/>
        </w:rPr>
      </w:pPr>
      <w:r w:rsidRPr="00657FED">
        <w:rPr>
          <w:rFonts w:cs="Arial"/>
          <w:sz w:val="24"/>
          <w:szCs w:val="24"/>
        </w:rPr>
        <w:t>Undang-Undang No. 25 Tahun 2007 Tentang Penanaman Modal;</w:t>
      </w:r>
    </w:p>
    <w:sectPr w:rsidR="0066236E" w:rsidRPr="00657FED" w:rsidSect="00657FED">
      <w:headerReference w:type="default" r:id="rId13"/>
      <w:footerReference w:type="default" r:id="rId14"/>
      <w:pgSz w:w="11900" w:h="16850"/>
      <w:pgMar w:top="720" w:right="1077" w:bottom="1440" w:left="1077" w:header="708"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ED469" w14:textId="77777777" w:rsidR="00A17ED7" w:rsidRDefault="00A17ED7">
      <w:r>
        <w:separator/>
      </w:r>
    </w:p>
  </w:endnote>
  <w:endnote w:type="continuationSeparator" w:id="0">
    <w:p w14:paraId="4AD98EE2" w14:textId="77777777" w:rsidR="00A17ED7" w:rsidRDefault="00A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5B56" w14:textId="77777777" w:rsidR="00657FED" w:rsidRPr="00657FED" w:rsidRDefault="00657FED" w:rsidP="00657FED">
    <w:pPr>
      <w:pBdr>
        <w:top w:val="nil"/>
        <w:left w:val="nil"/>
        <w:bottom w:val="nil"/>
        <w:right w:val="nil"/>
        <w:between w:val="nil"/>
      </w:pBdr>
      <w:jc w:val="center"/>
      <w:rPr>
        <w:color w:val="000000"/>
        <w:lang w:val="en-US"/>
      </w:rPr>
    </w:pPr>
    <w:r w:rsidRPr="00657FED">
      <w:rPr>
        <w:lang w:val="en-US"/>
      </w:rPr>
      <w:t>Copyright @ Yeni Triana</w:t>
    </w:r>
    <w:r w:rsidRPr="00657FED">
      <w:rPr>
        <w:color w:val="000000"/>
      </w:rPr>
      <w:t xml:space="preserve">, </w:t>
    </w:r>
    <w:r w:rsidRPr="00657FED">
      <w:rPr>
        <w:color w:val="000000"/>
        <w:lang w:val="en-US"/>
      </w:rPr>
      <w:t xml:space="preserve">M. </w:t>
    </w:r>
    <w:proofErr w:type="spellStart"/>
    <w:r w:rsidRPr="00657FED">
      <w:rPr>
        <w:color w:val="000000"/>
        <w:lang w:val="en-US"/>
      </w:rPr>
      <w:t>Dio</w:t>
    </w:r>
    <w:proofErr w:type="spellEnd"/>
    <w:r w:rsidRPr="00657FED">
      <w:rPr>
        <w:color w:val="000000"/>
        <w:lang w:val="en-US"/>
      </w:rPr>
      <w:t xml:space="preserve"> Asmara</w:t>
    </w:r>
    <w:r w:rsidRPr="00657FED">
      <w:t xml:space="preserve">, </w:t>
    </w:r>
    <w:r w:rsidRPr="00657FED">
      <w:rPr>
        <w:lang w:val="en-US"/>
      </w:rPr>
      <w:t xml:space="preserve">Erick Kripton </w:t>
    </w:r>
    <w:proofErr w:type="spellStart"/>
    <w:r w:rsidRPr="00657FED">
      <w:rPr>
        <w:lang w:val="en-US"/>
      </w:rPr>
      <w:t>Siburian</w:t>
    </w:r>
    <w:proofErr w:type="spellEnd"/>
    <w:r w:rsidRPr="00657FED">
      <w:rPr>
        <w:lang w:val="en-US"/>
      </w:rPr>
      <w:t xml:space="preserve">, M. Hatta, </w:t>
    </w:r>
    <w:proofErr w:type="spellStart"/>
    <w:proofErr w:type="gramStart"/>
    <w:r w:rsidRPr="00657FED">
      <w:rPr>
        <w:lang w:val="en-US"/>
      </w:rPr>
      <w:t>Ardiansyah</w:t>
    </w:r>
    <w:proofErr w:type="spellEnd"/>
    <w:r w:rsidRPr="00657FED">
      <w:rPr>
        <w:lang w:val="en-US"/>
      </w:rPr>
      <w:t xml:space="preserve"> ,</w:t>
    </w:r>
    <w:proofErr w:type="gramEnd"/>
    <w:r w:rsidRPr="00657FED">
      <w:rPr>
        <w:lang w:val="en-US"/>
      </w:rPr>
      <w:t xml:space="preserve"> Dede Putra</w:t>
    </w:r>
  </w:p>
  <w:p w14:paraId="1C79EDE0" w14:textId="77777777" w:rsidR="00657FED" w:rsidRPr="00657FED" w:rsidRDefault="00657FED" w:rsidP="00657FED">
    <w:pPr>
      <w:pBdr>
        <w:top w:val="nil"/>
        <w:left w:val="nil"/>
        <w:bottom w:val="nil"/>
        <w:right w:val="nil"/>
        <w:between w:val="nil"/>
      </w:pBdr>
      <w:spacing w:line="14" w:lineRule="auto"/>
      <w:rPr>
        <w:color w:val="000000"/>
      </w:rPr>
    </w:pPr>
    <w:r w:rsidRPr="00657FED">
      <w:rPr>
        <w:noProof/>
      </w:rPr>
      <mc:AlternateContent>
        <mc:Choice Requires="wps">
          <w:drawing>
            <wp:anchor distT="0" distB="0" distL="0" distR="0" simplePos="0" relativeHeight="251660288" behindDoc="1" locked="0" layoutInCell="1" hidden="0" allowOverlap="1" wp14:anchorId="0CA77921" wp14:editId="0FDE96CC">
              <wp:simplePos x="0" y="0"/>
              <wp:positionH relativeFrom="column">
                <wp:posOffset>2565400</wp:posOffset>
              </wp:positionH>
              <wp:positionV relativeFrom="paragraph">
                <wp:posOffset>10071100</wp:posOffset>
              </wp:positionV>
              <wp:extent cx="1035050" cy="178435"/>
              <wp:effectExtent l="0" t="0" r="0" b="0"/>
              <wp:wrapNone/>
              <wp:docPr id="2" name="Rectangle 2"/>
              <wp:cNvGraphicFramePr/>
              <a:graphic xmlns:a="http://schemas.openxmlformats.org/drawingml/2006/main">
                <a:graphicData uri="http://schemas.microsoft.com/office/word/2010/wordprocessingShape">
                  <wps:wsp>
                    <wps:cNvSpPr/>
                    <wps:spPr>
                      <a:xfrm>
                        <a:off x="4833238" y="3695545"/>
                        <a:ext cx="1025525" cy="168910"/>
                      </a:xfrm>
                      <a:prstGeom prst="rect">
                        <a:avLst/>
                      </a:prstGeom>
                      <a:noFill/>
                      <a:ln>
                        <a:noFill/>
                      </a:ln>
                    </wps:spPr>
                    <wps:txbx>
                      <w:txbxContent>
                        <w:p w14:paraId="7DDD4AB9" w14:textId="77777777" w:rsidR="00657FED" w:rsidRDefault="00657FED" w:rsidP="00657FED">
                          <w:pPr>
                            <w:spacing w:before="11"/>
                            <w:ind w:left="20" w:firstLine="20"/>
                            <w:textDirection w:val="btLr"/>
                          </w:pPr>
                          <w:r>
                            <w:rPr>
                              <w:rFonts w:ascii="Times New Roman" w:eastAsia="Times New Roman" w:hAnsi="Times New Roman" w:cs="Times New Roman"/>
                              <w:color w:val="000000"/>
                              <w:sz w:val="20"/>
                            </w:rPr>
                            <w:t>Copyright @ author</w:t>
                          </w:r>
                        </w:p>
                      </w:txbxContent>
                    </wps:txbx>
                    <wps:bodyPr spcFirstLastPara="1" wrap="square" lIns="0" tIns="0" rIns="0" bIns="0" anchor="t" anchorCtr="0">
                      <a:noAutofit/>
                    </wps:bodyPr>
                  </wps:wsp>
                </a:graphicData>
              </a:graphic>
            </wp:anchor>
          </w:drawing>
        </mc:Choice>
        <mc:Fallback>
          <w:pict>
            <v:rect w14:anchorId="0CA77921" id="Rectangle 2" o:spid="_x0000_s1026" style="position:absolute;margin-left:202pt;margin-top:793pt;width:81.5pt;height:14.0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" filled="f" stroked="f">
              <v:textbox inset="0,0,0,0">
                <w:txbxContent>
                  <w:p w14:paraId="7DDD4AB9" w14:textId="77777777" w:rsidR="00657FED" w:rsidRDefault="00657FED" w:rsidP="00657FED">
                    <w:pPr>
                      <w:spacing w:before="11"/>
                      <w:ind w:left="20" w:firstLine="20"/>
                      <w:textDirection w:val="btLr"/>
                    </w:pPr>
                    <w:r>
                      <w:rPr>
                        <w:rFonts w:ascii="Times New Roman" w:eastAsia="Times New Roman" w:hAnsi="Times New Roman" w:cs="Times New Roman"/>
                        <w:color w:val="000000"/>
                        <w:sz w:val="20"/>
                      </w:rPr>
                      <w:t>Copyright @ author</w:t>
                    </w:r>
                  </w:p>
                </w:txbxContent>
              </v:textbox>
            </v:rect>
          </w:pict>
        </mc:Fallback>
      </mc:AlternateContent>
    </w:r>
  </w:p>
  <w:p w14:paraId="284D4A6B" w14:textId="77777777" w:rsidR="0066236E" w:rsidRDefault="0066236E">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9D23F" w14:textId="77777777" w:rsidR="00A17ED7" w:rsidRDefault="00A17ED7">
      <w:r>
        <w:separator/>
      </w:r>
    </w:p>
  </w:footnote>
  <w:footnote w:type="continuationSeparator" w:id="0">
    <w:p w14:paraId="53F888E6" w14:textId="77777777" w:rsidR="00A17ED7" w:rsidRDefault="00A1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2B5D" w14:textId="77777777" w:rsidR="0066236E" w:rsidRDefault="0066236E">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C92"/>
    <w:multiLevelType w:val="hybridMultilevel"/>
    <w:tmpl w:val="307422E2"/>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15:restartNumberingAfterBreak="0">
    <w:nsid w:val="0D151FDD"/>
    <w:multiLevelType w:val="hybridMultilevel"/>
    <w:tmpl w:val="19A06D30"/>
    <w:lvl w:ilvl="0" w:tplc="38090019">
      <w:start w:val="1"/>
      <w:numFmt w:val="lowerLetter"/>
      <w:lvlText w:val="%1."/>
      <w:lvlJc w:val="left"/>
      <w:pPr>
        <w:ind w:left="1429" w:hanging="360"/>
      </w:pPr>
    </w:lvl>
    <w:lvl w:ilvl="1" w:tplc="55482D3E">
      <w:start w:val="1"/>
      <w:numFmt w:val="decimal"/>
      <w:lvlText w:val="(%2)"/>
      <w:lvlJc w:val="left"/>
      <w:pPr>
        <w:ind w:left="2209" w:hanging="420"/>
      </w:pPr>
      <w:rPr>
        <w:rFonts w:hint="default"/>
      </w:r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11A93966"/>
    <w:multiLevelType w:val="hybridMultilevel"/>
    <w:tmpl w:val="2272C230"/>
    <w:lvl w:ilvl="0" w:tplc="7B32D23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20650C55"/>
    <w:multiLevelType w:val="hybridMultilevel"/>
    <w:tmpl w:val="FFFFFFFF"/>
    <w:lvl w:ilvl="0" w:tplc="0421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4" w15:restartNumberingAfterBreak="0">
    <w:nsid w:val="36C73079"/>
    <w:multiLevelType w:val="multilevel"/>
    <w:tmpl w:val="B21C926E"/>
    <w:lvl w:ilvl="0">
      <w:start w:val="1"/>
      <w:numFmt w:val="decimal"/>
      <w:lvlText w:val="(%1)"/>
      <w:lvlJc w:val="left"/>
      <w:pPr>
        <w:ind w:left="2785" w:hanging="296"/>
      </w:pPr>
      <w:rPr>
        <w:rFonts w:ascii="Yu Gothic UI Semilight" w:eastAsia="Yu Gothic UI Semilight" w:hAnsi="Yu Gothic UI Semilight" w:cs="Yu Gothic UI Semilight"/>
        <w:sz w:val="24"/>
        <w:szCs w:val="24"/>
      </w:rPr>
    </w:lvl>
    <w:lvl w:ilvl="1">
      <w:numFmt w:val="bullet"/>
      <w:lvlText w:val="•"/>
      <w:lvlJc w:val="left"/>
      <w:pPr>
        <w:ind w:left="3503" w:hanging="296"/>
      </w:pPr>
    </w:lvl>
    <w:lvl w:ilvl="2">
      <w:numFmt w:val="bullet"/>
      <w:lvlText w:val="•"/>
      <w:lvlJc w:val="left"/>
      <w:pPr>
        <w:ind w:left="4227" w:hanging="296"/>
      </w:pPr>
    </w:lvl>
    <w:lvl w:ilvl="3">
      <w:numFmt w:val="bullet"/>
      <w:lvlText w:val="•"/>
      <w:lvlJc w:val="left"/>
      <w:pPr>
        <w:ind w:left="4951" w:hanging="296"/>
      </w:pPr>
    </w:lvl>
    <w:lvl w:ilvl="4">
      <w:numFmt w:val="bullet"/>
      <w:lvlText w:val="•"/>
      <w:lvlJc w:val="left"/>
      <w:pPr>
        <w:ind w:left="5675" w:hanging="296"/>
      </w:pPr>
    </w:lvl>
    <w:lvl w:ilvl="5">
      <w:numFmt w:val="bullet"/>
      <w:lvlText w:val="•"/>
      <w:lvlJc w:val="left"/>
      <w:pPr>
        <w:ind w:left="6399" w:hanging="296"/>
      </w:pPr>
    </w:lvl>
    <w:lvl w:ilvl="6">
      <w:numFmt w:val="bullet"/>
      <w:lvlText w:val="•"/>
      <w:lvlJc w:val="left"/>
      <w:pPr>
        <w:ind w:left="7123" w:hanging="296"/>
      </w:pPr>
    </w:lvl>
    <w:lvl w:ilvl="7">
      <w:numFmt w:val="bullet"/>
      <w:lvlText w:val="•"/>
      <w:lvlJc w:val="left"/>
      <w:pPr>
        <w:ind w:left="7847" w:hanging="296"/>
      </w:pPr>
    </w:lvl>
    <w:lvl w:ilvl="8">
      <w:numFmt w:val="bullet"/>
      <w:lvlText w:val="•"/>
      <w:lvlJc w:val="left"/>
      <w:pPr>
        <w:ind w:left="8571" w:hanging="296"/>
      </w:pPr>
    </w:lvl>
  </w:abstractNum>
  <w:abstractNum w:abstractNumId="5" w15:restartNumberingAfterBreak="0">
    <w:nsid w:val="39EC41CC"/>
    <w:multiLevelType w:val="hybridMultilevel"/>
    <w:tmpl w:val="57B40D8A"/>
    <w:lvl w:ilvl="0" w:tplc="3098870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61571215"/>
    <w:multiLevelType w:val="multilevel"/>
    <w:tmpl w:val="DB480BFE"/>
    <w:lvl w:ilvl="0">
      <w:start w:val="1"/>
      <w:numFmt w:val="decimal"/>
      <w:lvlText w:val="[%1]"/>
      <w:lvlJc w:val="left"/>
      <w:pPr>
        <w:ind w:left="567" w:hanging="427"/>
      </w:pPr>
      <w:rPr>
        <w:rFonts w:ascii="Yu Gothic UI Semilight" w:eastAsia="Yu Gothic UI Semilight" w:hAnsi="Yu Gothic UI Semilight" w:cs="Yu Gothic UI Semilight"/>
        <w:sz w:val="24"/>
        <w:szCs w:val="24"/>
      </w:rPr>
    </w:lvl>
    <w:lvl w:ilvl="1">
      <w:numFmt w:val="bullet"/>
      <w:lvlText w:val="•"/>
      <w:lvlJc w:val="left"/>
      <w:pPr>
        <w:ind w:left="1505" w:hanging="428"/>
      </w:pPr>
    </w:lvl>
    <w:lvl w:ilvl="2">
      <w:numFmt w:val="bullet"/>
      <w:lvlText w:val="•"/>
      <w:lvlJc w:val="left"/>
      <w:pPr>
        <w:ind w:left="2451" w:hanging="428"/>
      </w:pPr>
    </w:lvl>
    <w:lvl w:ilvl="3">
      <w:numFmt w:val="bullet"/>
      <w:lvlText w:val="•"/>
      <w:lvlJc w:val="left"/>
      <w:pPr>
        <w:ind w:left="3397" w:hanging="428"/>
      </w:pPr>
    </w:lvl>
    <w:lvl w:ilvl="4">
      <w:numFmt w:val="bullet"/>
      <w:lvlText w:val="•"/>
      <w:lvlJc w:val="left"/>
      <w:pPr>
        <w:ind w:left="4343" w:hanging="428"/>
      </w:pPr>
    </w:lvl>
    <w:lvl w:ilvl="5">
      <w:numFmt w:val="bullet"/>
      <w:lvlText w:val="•"/>
      <w:lvlJc w:val="left"/>
      <w:pPr>
        <w:ind w:left="5289" w:hanging="428"/>
      </w:pPr>
    </w:lvl>
    <w:lvl w:ilvl="6">
      <w:numFmt w:val="bullet"/>
      <w:lvlText w:val="•"/>
      <w:lvlJc w:val="left"/>
      <w:pPr>
        <w:ind w:left="6235" w:hanging="428"/>
      </w:pPr>
    </w:lvl>
    <w:lvl w:ilvl="7">
      <w:numFmt w:val="bullet"/>
      <w:lvlText w:val="•"/>
      <w:lvlJc w:val="left"/>
      <w:pPr>
        <w:ind w:left="7181" w:hanging="427"/>
      </w:pPr>
    </w:lvl>
    <w:lvl w:ilvl="8">
      <w:numFmt w:val="bullet"/>
      <w:lvlText w:val="•"/>
      <w:lvlJc w:val="left"/>
      <w:pPr>
        <w:ind w:left="8127" w:hanging="427"/>
      </w:pPr>
    </w:lvl>
  </w:abstractNum>
  <w:abstractNum w:abstractNumId="7" w15:restartNumberingAfterBreak="0">
    <w:nsid w:val="66906252"/>
    <w:multiLevelType w:val="hybridMultilevel"/>
    <w:tmpl w:val="639A7516"/>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6FFB387F"/>
    <w:multiLevelType w:val="hybridMultilevel"/>
    <w:tmpl w:val="6FD2321A"/>
    <w:lvl w:ilvl="0" w:tplc="F5B02BB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711202EB"/>
    <w:multiLevelType w:val="hybridMultilevel"/>
    <w:tmpl w:val="ED06BC08"/>
    <w:lvl w:ilvl="0" w:tplc="7A78B5F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16cid:durableId="234173775">
    <w:abstractNumId w:val="6"/>
  </w:num>
  <w:num w:numId="2" w16cid:durableId="1069159042">
    <w:abstractNumId w:val="4"/>
  </w:num>
  <w:num w:numId="3" w16cid:durableId="1139347694">
    <w:abstractNumId w:val="5"/>
  </w:num>
  <w:num w:numId="4" w16cid:durableId="1042024003">
    <w:abstractNumId w:val="7"/>
  </w:num>
  <w:num w:numId="5" w16cid:durableId="1365254648">
    <w:abstractNumId w:val="1"/>
  </w:num>
  <w:num w:numId="6" w16cid:durableId="152919322">
    <w:abstractNumId w:val="0"/>
  </w:num>
  <w:num w:numId="7" w16cid:durableId="1231964381">
    <w:abstractNumId w:val="8"/>
  </w:num>
  <w:num w:numId="8" w16cid:durableId="1321885588">
    <w:abstractNumId w:val="2"/>
  </w:num>
  <w:num w:numId="9" w16cid:durableId="1482427624">
    <w:abstractNumId w:val="9"/>
  </w:num>
  <w:num w:numId="10" w16cid:durableId="1503351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36E"/>
    <w:rsid w:val="00010F82"/>
    <w:rsid w:val="001778E2"/>
    <w:rsid w:val="0029141F"/>
    <w:rsid w:val="002B2802"/>
    <w:rsid w:val="00402D0B"/>
    <w:rsid w:val="00406B75"/>
    <w:rsid w:val="00546892"/>
    <w:rsid w:val="00657FED"/>
    <w:rsid w:val="0066236E"/>
    <w:rsid w:val="007A382D"/>
    <w:rsid w:val="00A17ED7"/>
    <w:rsid w:val="00A2212E"/>
    <w:rsid w:val="00AE6167"/>
    <w:rsid w:val="00B46220"/>
    <w:rsid w:val="00BE1D21"/>
    <w:rsid w:val="00CC6454"/>
    <w:rsid w:val="00DE4EEB"/>
    <w:rsid w:val="00F25562"/>
    <w:rsid w:val="00F40CA0"/>
    <w:rsid w:val="00FD3F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FCD5"/>
  <w15:docId w15:val="{31C1BC2F-43DD-4C63-AD74-B9C6C9C6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Yu Gothic UI Semilight" w:eastAsia="Yu Gothic UI Semilight" w:hAnsi="Yu Gothic UI Semilight" w:cs="Yu Gothic UI Semilight"/>
        <w:sz w:val="22"/>
        <w:szCs w:val="22"/>
        <w:lang w:val="id"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FED"/>
    <w:pPr>
      <w:autoSpaceDE w:val="0"/>
      <w:autoSpaceDN w:val="0"/>
    </w:p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0470E"/>
    <w:pPr>
      <w:spacing w:before="18"/>
      <w:ind w:left="488" w:right="485" w:firstLine="1"/>
      <w:jc w:val="center"/>
    </w:pPr>
    <w:rPr>
      <w:sz w:val="48"/>
      <w:szCs w:val="48"/>
    </w:rPr>
  </w:style>
  <w:style w:type="character" w:customStyle="1" w:styleId="Heading1Char">
    <w:name w:val="Heading 1 Char"/>
    <w:basedOn w:val="DefaultParagraphFont"/>
    <w:link w:val="Heading1"/>
    <w:uiPriority w:val="9"/>
    <w:rsid w:val="0000470E"/>
    <w:rPr>
      <w:rFonts w:ascii="Yu Gothic UI Semilight" w:eastAsia="Yu Gothic UI Semilight" w:hAnsi="Yu Gothic UI Semilight" w:cs="Yu Gothic UI Semilight"/>
      <w:sz w:val="25"/>
      <w:szCs w:val="25"/>
      <w:lang w:val="id"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val="id" w:bidi="ar-SA"/>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val="id" w:bidi="ar-SA"/>
    </w:rPr>
  </w:style>
  <w:style w:type="paragraph" w:styleId="ListParagraph">
    <w:name w:val="List Paragraph"/>
    <w:basedOn w:val="Normal"/>
    <w:uiPriority w:val="1"/>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39"/>
    <w:rsid w:val="0000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val="id"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val="id"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il_ekaljago46@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jERCaR64pikE5uGPiRnXXvRjQ==">CgMxLjAyDmguc2N0bzV5aDhtb21mMg1oLjNpbnVqbjZ1dWo1Mg1oLmloYzBqMzFkOTJiOAByITFJZ2NZcnB3SzZBSWg4SnktcUVsdndSaFhpS2NST2pPZQ==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4106</Words>
  <Characters>23406</Characters>
  <Application>Microsoft Office Word</Application>
  <DocSecurity>0</DocSecurity>
  <Lines>195</Lines>
  <Paragraphs>54</Paragraphs>
  <ScaleCrop>false</ScaleCrop>
  <Company/>
  <LinksUpToDate>false</LinksUpToDate>
  <CharactersWithSpaces>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suryadi azhar</cp:lastModifiedBy>
  <cp:revision>2</cp:revision>
  <dcterms:created xsi:type="dcterms:W3CDTF">2023-11-22T07:18:00Z</dcterms:created>
  <dcterms:modified xsi:type="dcterms:W3CDTF">2023-11-22T07:18:00Z</dcterms:modified>
</cp:coreProperties>
</file>