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498468E6" w:rsidR="008D088C" w:rsidRPr="00CB7515" w:rsidRDefault="008D088C" w:rsidP="00AC1996">
      <w:pPr>
        <w:pStyle w:val="BodyText"/>
        <w:ind w:left="1134" w:right="3427" w:hanging="12"/>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INNOVATIVE: Journal Of Social Science Research</w:t>
      </w:r>
      <w:r w:rsidRPr="008D088C">
        <w:rPr>
          <w:rFonts w:ascii="Yu Gothic UI Semilight" w:eastAsia="Yu Gothic UI Semilight" w:hAnsi="Yu Gothic UI Semilight" w:hint="eastAsia"/>
          <w:b/>
          <w:bCs/>
          <w:spacing w:val="-63"/>
          <w:sz w:val="24"/>
          <w:szCs w:val="24"/>
          <w:lang w:val="id-ID"/>
        </w:rPr>
        <w:t xml:space="preserve"> </w:t>
      </w:r>
      <w:bookmarkStart w:id="1" w:name="_Hlk168736466"/>
      <w:r w:rsidR="00AC1996" w:rsidRPr="00AC1996">
        <w:rPr>
          <w:rFonts w:ascii="Yu Gothic UI Semilight" w:eastAsia="Yu Gothic UI Semilight" w:hAnsi="Yu Gothic UI Semilight" w:hint="eastAsia"/>
          <w:b/>
          <w:bCs/>
          <w:sz w:val="24"/>
          <w:szCs w:val="24"/>
          <w:lang w:val="id-ID"/>
        </w:rPr>
        <w:t xml:space="preserve">Volume 5 Nomor </w:t>
      </w:r>
      <w:r w:rsidR="00C27173">
        <w:rPr>
          <w:rFonts w:ascii="Yu Gothic UI Semilight" w:eastAsia="Yu Gothic UI Semilight" w:hAnsi="Yu Gothic UI Semilight"/>
          <w:b/>
          <w:bCs/>
          <w:sz w:val="24"/>
          <w:szCs w:val="24"/>
          <w:lang w:val="id-ID"/>
        </w:rPr>
        <w:t>2</w:t>
      </w:r>
      <w:r w:rsidR="00AC1996" w:rsidRPr="00AC1996">
        <w:rPr>
          <w:rFonts w:ascii="Yu Gothic UI Semilight" w:eastAsia="Yu Gothic UI Semilight" w:hAnsi="Yu Gothic UI Semilight" w:hint="eastAsia"/>
          <w:b/>
          <w:bCs/>
          <w:sz w:val="24"/>
          <w:szCs w:val="24"/>
          <w:lang w:val="id-ID"/>
        </w:rPr>
        <w:t xml:space="preserve"> Tahun 2025 </w:t>
      </w:r>
      <w:proofErr w:type="spellStart"/>
      <w:r w:rsidR="00CB7515" w:rsidRPr="00CB7515">
        <w:rPr>
          <w:rFonts w:ascii="Yu Gothic UI Semilight" w:eastAsia="Yu Gothic UI Semilight" w:hAnsi="Yu Gothic UI Semilight"/>
          <w:b/>
          <w:bCs/>
          <w:sz w:val="24"/>
          <w:szCs w:val="24"/>
          <w:lang w:val="id-ID"/>
        </w:rPr>
        <w:t>Page</w:t>
      </w:r>
      <w:proofErr w:type="spellEnd"/>
      <w:r w:rsidR="00CB7515" w:rsidRPr="00CB7515">
        <w:rPr>
          <w:rFonts w:ascii="Yu Gothic UI Semilight" w:eastAsia="Yu Gothic UI Semilight" w:hAnsi="Yu Gothic UI Semilight"/>
          <w:b/>
          <w:bCs/>
          <w:sz w:val="24"/>
          <w:szCs w:val="24"/>
          <w:lang w:val="id-ID"/>
        </w:rPr>
        <w:t xml:space="preserve"> </w:t>
      </w:r>
      <w:bookmarkEnd w:id="1"/>
      <w:r w:rsidR="00C27173">
        <w:rPr>
          <w:rFonts w:ascii="Yu Gothic UI Semilight" w:eastAsia="Yu Gothic UI Semilight" w:hAnsi="Yu Gothic UI Semilight"/>
          <w:b/>
          <w:bCs/>
          <w:sz w:val="24"/>
          <w:szCs w:val="24"/>
          <w:lang w:val="id-ID"/>
        </w:rPr>
        <w:t>1888-1900</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771F6BBC" w14:textId="4CC71494" w:rsidR="00CB7515" w:rsidRPr="00CB7515" w:rsidRDefault="0082309A" w:rsidP="00CB7515">
      <w:pPr>
        <w:spacing w:after="0" w:line="240" w:lineRule="auto"/>
        <w:jc w:val="center"/>
        <w:rPr>
          <w:rFonts w:ascii="Yu Gothic UI Semilight" w:eastAsia="Yu Gothic UI Semilight" w:hAnsi="Yu Gothic UI Semilight" w:cs="Times New Roman"/>
          <w:b/>
          <w:sz w:val="28"/>
          <w:szCs w:val="28"/>
          <w:lang w:val="id-ID"/>
        </w:rPr>
      </w:pPr>
      <w:r w:rsidRPr="0082309A">
        <w:rPr>
          <w:rFonts w:ascii="Yu Gothic UI Semilight" w:eastAsia="Yu Gothic UI Semilight" w:hAnsi="Yu Gothic UI Semilight" w:cs="Times New Roman"/>
          <w:b/>
          <w:bCs/>
          <w:sz w:val="28"/>
          <w:szCs w:val="28"/>
        </w:rPr>
        <w:t xml:space="preserve">Analisis Pengaruh Inflasi </w:t>
      </w:r>
      <w:r>
        <w:rPr>
          <w:rFonts w:ascii="Yu Gothic UI Semilight" w:eastAsia="Yu Gothic UI Semilight" w:hAnsi="Yu Gothic UI Semilight" w:cs="Times New Roman"/>
          <w:b/>
          <w:bCs/>
          <w:sz w:val="28"/>
          <w:szCs w:val="28"/>
        </w:rPr>
        <w:t>t</w:t>
      </w:r>
      <w:r w:rsidRPr="0082309A">
        <w:rPr>
          <w:rFonts w:ascii="Yu Gothic UI Semilight" w:eastAsia="Yu Gothic UI Semilight" w:hAnsi="Yu Gothic UI Semilight" w:cs="Times New Roman"/>
          <w:b/>
          <w:bCs/>
          <w:sz w:val="28"/>
          <w:szCs w:val="28"/>
        </w:rPr>
        <w:t>erhadap Indeks Harga Konsumen (IHK) Di Kota Medan</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0363C538" w14:textId="66DA256A" w:rsidR="00CB7515" w:rsidRPr="00833981" w:rsidRDefault="0082309A" w:rsidP="00833981">
      <w:pPr>
        <w:spacing w:after="0" w:line="240" w:lineRule="auto"/>
        <w:jc w:val="center"/>
        <w:rPr>
          <w:rFonts w:ascii="Yu Gothic UI Semilight" w:eastAsia="Yu Gothic UI Semilight" w:hAnsi="Yu Gothic UI Semilight" w:cs="Times New Roman"/>
          <w:b/>
          <w:bCs/>
          <w:sz w:val="24"/>
          <w:szCs w:val="24"/>
          <w:lang w:val="id"/>
        </w:rPr>
      </w:pPr>
      <w:bookmarkStart w:id="2" w:name="_Hlk168736603"/>
      <w:r>
        <w:rPr>
          <w:rFonts w:ascii="Yu Gothic UI Semilight" w:eastAsia="Yu Gothic UI Semilight" w:hAnsi="Yu Gothic UI Semilight" w:cs="Times New Roman"/>
          <w:b/>
          <w:bCs/>
          <w:sz w:val="24"/>
          <w:szCs w:val="24"/>
          <w:lang w:val="id"/>
        </w:rPr>
        <w:t>Saut Martua</w:t>
      </w:r>
    </w:p>
    <w:bookmarkEnd w:id="2"/>
    <w:p w14:paraId="237F6D3B" w14:textId="2923C23B" w:rsidR="002057A5" w:rsidRPr="00CB7515" w:rsidRDefault="0082309A" w:rsidP="00092448">
      <w:pPr>
        <w:spacing w:after="0" w:line="240" w:lineRule="auto"/>
        <w:jc w:val="center"/>
        <w:rPr>
          <w:rFonts w:ascii="Yu Gothic UI Semilight" w:eastAsia="Yu Gothic UI Semilight" w:hAnsi="Yu Gothic UI Semilight" w:cs="Times New Roman"/>
          <w:sz w:val="24"/>
          <w:szCs w:val="24"/>
          <w:lang w:val="id-ID"/>
        </w:rPr>
      </w:pPr>
      <w:r w:rsidRPr="0082309A">
        <w:rPr>
          <w:rFonts w:ascii="Yu Gothic UI Semilight" w:eastAsia="Yu Gothic UI Semilight" w:hAnsi="Yu Gothic UI Semilight" w:cs="Times New Roman"/>
          <w:sz w:val="24"/>
          <w:szCs w:val="24"/>
          <w:lang w:val="id"/>
        </w:rPr>
        <w:t>Universitas Sumatra Utara</w:t>
      </w:r>
    </w:p>
    <w:p w14:paraId="6A8E2E8C" w14:textId="6B0B62FD" w:rsidR="002057A5" w:rsidRPr="008D088C" w:rsidRDefault="008D088C" w:rsidP="00956E5D">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82309A" w:rsidRPr="0082309A">
        <w:rPr>
          <w:rFonts w:ascii="Yu Gothic UI Semilight" w:eastAsia="Yu Gothic UI Semilight" w:hAnsi="Yu Gothic UI Semilight" w:cs="Times New Roman"/>
          <w:color w:val="0070C0"/>
          <w:sz w:val="24"/>
          <w:szCs w:val="24"/>
          <w:lang w:val="id"/>
        </w:rPr>
        <w:t>saut.ringo@yahoo.com</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220B0479" w:rsidR="00672225" w:rsidRPr="00EB38FE" w:rsidRDefault="0082309A" w:rsidP="008D088C">
            <w:pPr>
              <w:pStyle w:val="TableParagraph"/>
              <w:ind w:left="0"/>
              <w:jc w:val="both"/>
              <w:rPr>
                <w:rFonts w:ascii="Yu Gothic UI Semilight" w:eastAsia="Yu Gothic UI Semilight" w:hAnsi="Yu Gothic UI Semilight" w:cs="Times New Roman"/>
                <w:lang w:val="id-ID"/>
              </w:rPr>
            </w:pPr>
            <w:r w:rsidRPr="0082309A">
              <w:rPr>
                <w:rFonts w:ascii="Yu Gothic UI Semilight" w:eastAsia="Yu Gothic UI Semilight" w:hAnsi="Yu Gothic UI Semilight" w:cs="Times New Roman"/>
              </w:rPr>
              <w:t>Inflasi merupakan indikator utama dalam menilai stabilitas ekonomi suatu wilayah. Penelitian ini bertujuan untuk menganalisis pengaruh inflasi terhadap Indeks Harga Konsumen (IHK) di Kota Medan. IHK digunakan sebagai alat ukur utama dalam memahami dinamika harga barang dan jasa yang dikonsumsi oleh rumah tangga. Kota Medan memiliki struktur ekonomi yang kompleks, di mana sektor perdagangan, jasa, dan manufaktur berperan signifikan dalam pergerakan inflasi dan IHK. Penelitian ini menggunakan pendekatan kuantitatif dengan data sekunder dari Badan Pusat Statistik (BPS) Kota Medan untuk periode Januari 2022 hingga September 2024. Model regresi OLS digunakan untuk menganalisis hubungan antara inflasi dan IHK, dengan uji statistik seperti uji F, uji t, dan uji R² untuk mengukur signifikansi pengaruh variabel. Hasil penelitian menunjukkan bahwa inflasi berpengaruh positif dan signifikan terhadap IHK di Kota Medan (p-value &lt; 0.05), yang mengindikasikan bahwa kenaikan inflasi cenderung diikuti oleh peningkatan harga barang dan jasa. Temuan ini memberikan wawasan bagi pembuat kebijakan dalam merancang strategi pengendalian inflasi yang lebih efektif guna menjaga daya beli masyarakat dan stabilitas harga. Dengan memahami pola hubungan antara inflasi dan IHK, kebijakan fiskal dan moneter dapat lebih dioptimalkan untuk mencapai keseimbangan ekonomi daerah.</w:t>
            </w:r>
          </w:p>
          <w:p w14:paraId="45ACB543" w14:textId="138922EC"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82309A" w:rsidRPr="0082309A">
              <w:rPr>
                <w:rFonts w:ascii="Yu Gothic UI Semilight" w:eastAsia="Yu Gothic UI Semilight" w:hAnsi="Yu Gothic UI Semilight" w:cs="Times New Roman"/>
                <w:i/>
                <w:iCs/>
                <w:lang w:val="id"/>
              </w:rPr>
              <w:t>Inflasi, Indeks Harga Konsumen, Kota Medan, Kebijakan Moneter</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77E4A">
        <w:trPr>
          <w:trHeight w:val="4247"/>
        </w:trPr>
        <w:tc>
          <w:tcPr>
            <w:tcW w:w="9895" w:type="dxa"/>
          </w:tcPr>
          <w:p w14:paraId="0BBE6725" w14:textId="374E4E3D" w:rsidR="008D088C" w:rsidRPr="008D088C" w:rsidRDefault="0082309A" w:rsidP="008D088C">
            <w:pPr>
              <w:jc w:val="center"/>
              <w:rPr>
                <w:rFonts w:ascii="Yu Gothic UI Semilight" w:eastAsia="Yu Gothic UI Semilight" w:hAnsi="Yu Gothic UI Semilight" w:cs="Times New Roman"/>
                <w:b/>
                <w:lang w:val="en"/>
              </w:rPr>
            </w:pPr>
            <w:r>
              <w:rPr>
                <w:rFonts w:ascii="Yu Gothic UI Semilight" w:eastAsia="Yu Gothic UI Semilight" w:hAnsi="Yu Gothic UI Semilight" w:cs="Times New Roman"/>
                <w:i/>
                <w:sz w:val="24"/>
                <w:szCs w:val="24"/>
                <w:lang w:val="id-ID"/>
              </w:rPr>
              <w:lastRenderedPageBreak/>
              <w:tab/>
            </w:r>
            <w:r w:rsidR="008D088C" w:rsidRPr="008D088C">
              <w:rPr>
                <w:rFonts w:ascii="Yu Gothic UI Semilight" w:eastAsia="Yu Gothic UI Semilight" w:hAnsi="Yu Gothic UI Semilight" w:cs="Times New Roman"/>
                <w:b/>
                <w:lang w:val="en"/>
              </w:rPr>
              <w:t>Abstract</w:t>
            </w:r>
          </w:p>
          <w:p w14:paraId="1B36F9BE" w14:textId="7CCDF6B5" w:rsidR="00CB7515" w:rsidRPr="00EB38FE" w:rsidRDefault="0082309A" w:rsidP="00CB7515">
            <w:pPr>
              <w:jc w:val="both"/>
              <w:rPr>
                <w:rFonts w:ascii="Yu Gothic UI Semilight" w:eastAsia="Yu Gothic UI Semilight" w:hAnsi="Yu Gothic UI Semilight"/>
              </w:rPr>
            </w:pPr>
            <w:r w:rsidRPr="0082309A">
              <w:rPr>
                <w:rFonts w:ascii="Yu Gothic UI Semilight" w:eastAsia="Yu Gothic UI Semilight" w:hAnsi="Yu Gothic UI Semilight"/>
              </w:rPr>
              <w:t>Inflation is a key indicator in assessing the economic stability of a region. This study aims to analyze the effect of inflation on the Consumer Price Index (CPI) in Medan City. The CPI is used as the primary measurement tool in understanding the dynamics of prices for goods and services consumed by households. Medan City has a complex economic structure, where the trade, services, and manufacturing sectors play a significant role in driving both inflation and the CPI. This research employs a quantitative approach using secondary data from the Central Statistics Agency (BPS) of Medan City for the period from January 2022 to September 2024. The Ordinary Least Squares (OLS) regression model is used to analyze the relationship between inflation and the CPI, with statistical tests such as the F-test, t-test, and R² test applied to measure the significance of the variable's influence. The results of the study show that inflation has a positive and significant effect on the CPI in Medan City (p-value &lt; 0.05), indicating that an increase in inflation tends to be followed by a rise in the prices of goods and services. These findings provide insights for policymakers in designing more effective inflation control strategies to maintain public purchasing power and price stability. By understanding the pattern of the relationship between inflation and the CPI, fiscal and monetary policies can be better optimized to achieve regional economic balance.</w:t>
            </w:r>
          </w:p>
          <w:p w14:paraId="0D89A127" w14:textId="5A8F7F7B" w:rsidR="008D088C" w:rsidRDefault="008D088C" w:rsidP="008D088C">
            <w:pPr>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82309A" w:rsidRPr="0082309A">
              <w:rPr>
                <w:rFonts w:ascii="Yu Gothic UI Semilight" w:eastAsia="Yu Gothic UI Semilight" w:hAnsi="Yu Gothic UI Semilight"/>
                <w:i/>
                <w:iCs/>
                <w:color w:val="202124"/>
                <w:lang w:val="id"/>
              </w:rPr>
              <w:t>Inflation, Consumer Price Index, Medan City, Monetary Policy</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5D0383D8"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bCs/>
          <w:sz w:val="24"/>
          <w:szCs w:val="24"/>
          <w:lang w:val="id"/>
        </w:rPr>
      </w:pPr>
      <w:r w:rsidRPr="0082309A">
        <w:rPr>
          <w:rFonts w:ascii="Yu Gothic UI Semilight" w:eastAsia="Yu Gothic UI Semilight" w:hAnsi="Yu Gothic UI Semilight" w:cs="Times New Roman"/>
          <w:bCs/>
          <w:sz w:val="24"/>
          <w:szCs w:val="24"/>
          <w:lang w:val="id"/>
        </w:rPr>
        <w:t>Inflasi merupakan fenomena ekonomi yang sering kali menjadi indikator utama dalam menilai stabilitas makroekonomi suatu wilayah. Inflasi yang tinggi dapat mengurangi daya beli masyarakat dan meningkatkan biaya hidup secara keseluruhan, sementara inflasi yang terlalu rendah atau deflasi dapat mengindikasikan lemahnya permintaan agregat dan pertumbuhan ekonomi yang stagnan (Khan &amp; Naushad, 2020). Di Indonesia, inflasi menjadi salah satu fokus utama dalam kebijakan moneter yang diterapkan oleh Bank Indonesia (BI) guna menjaga stabilitas harga dan mendukung pertumbuhan ekonomi yang berkelanjutan (Ramadhani et al., 2024). Kota Medan sebagai salah satu kota metropolitan terbesar di luar Pulau Jawa memiliki dinamika inflasi yang unik, dipengaruhi oleh sektor perdagangan, jasa, dan industri manufaktur yang berkembang pesat. Oleh karena itu, analisis mengenai pengaruh inflasi terhadap Indeks Harga Konsumen (IHK) di Kota Medan menjadi penting untuk memahami dampak yang ditimbulkan terhadap stabilitas harga dan kesejahteraan masyarakat setempat.</w:t>
      </w:r>
    </w:p>
    <w:p w14:paraId="6AE5D79F"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bCs/>
          <w:sz w:val="24"/>
          <w:szCs w:val="24"/>
          <w:lang w:val="id"/>
        </w:rPr>
      </w:pPr>
      <w:r w:rsidRPr="0082309A">
        <w:rPr>
          <w:rFonts w:ascii="Yu Gothic UI Semilight" w:eastAsia="Yu Gothic UI Semilight" w:hAnsi="Yu Gothic UI Semilight" w:cs="Times New Roman"/>
          <w:bCs/>
          <w:sz w:val="24"/>
          <w:szCs w:val="24"/>
          <w:lang w:val="id"/>
        </w:rPr>
        <w:t>Indeks Harga Konsumen (IHK) merupakan ukuran utama dalam menentukan tingkat inflasi di suatu daerah karena mencerminkan perubahan harga barang dan jasa yang dikonsumsi oleh rumah tangga. Perubahan IHK yang signifikan dapat menunjukkan fluktuasi harga yang berdampak langsung pada daya beli masyarakat dan tingkat kesejahteraan (Prifti et al., 2017). Menurut teori kuantitas uang dari Fisher, inflasi terjadi ketika jumlah uang yang beredar meningkat lebih cepat dibandingkan dengan pertumbuhan output ekonomi, yang menyebabkan kenaikan harga barang dan jasa secara umum (Chandra &amp; Wahyuningsih, 2021). Di Kota Medan, sektor-sektor utama seperti bahan makanan, transportasi, dan perumahan memberikan kontribusi besar terhadap pergerakan IHK (Saparuddin, 2017). Perubahan harga pada sektor-sektor ini sering kali dipengaruhi oleh berbagai faktor seperti kebijakan fiskal dan moneter, gangguan rantai pasok, serta faktor eksternal seperti harga komoditas global dan nilai tukar rupiah (Arif et al., 2024).</w:t>
      </w:r>
    </w:p>
    <w:p w14:paraId="0E8DED05"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bCs/>
          <w:sz w:val="24"/>
          <w:szCs w:val="24"/>
          <w:lang w:val="id"/>
        </w:rPr>
      </w:pPr>
      <w:r w:rsidRPr="0082309A">
        <w:rPr>
          <w:rFonts w:ascii="Yu Gothic UI Semilight" w:eastAsia="Yu Gothic UI Semilight" w:hAnsi="Yu Gothic UI Semilight" w:cs="Times New Roman"/>
          <w:bCs/>
          <w:sz w:val="24"/>
          <w:szCs w:val="24"/>
          <w:lang w:val="id"/>
        </w:rPr>
        <w:t xml:space="preserve">Selain faktor domestik, inflasi di Kota Medan juga dipengaruhi oleh faktor eksternal seperti kenaikan harga energi global dan ketidakstabilan geopolitik yang berdampak pada harga barang impor. Menurut teori Phillips Curve, terdapat hubungan terbalik antara tingkat inflasi dan tingkat pengangguran, di mana peningkatan inflasi sering kali diiringi dengan penurunan tingkat pengangguran akibat pertumbuhan ekonomi yang lebih tinggi (Muhammad, 2023). Namun, dalam beberapa tahun terakhir, inflasi yang terjadi lebih disebabkan oleh faktor biaya (cost-push inflation) seperti kenaikan harga bahan bakar dan bahan pangan yang dipicu oleh gangguan pasokan global (Oktavia, 2025). </w:t>
      </w:r>
    </w:p>
    <w:p w14:paraId="75CA8ED6"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bCs/>
          <w:sz w:val="24"/>
          <w:szCs w:val="24"/>
          <w:lang w:val="id"/>
        </w:rPr>
      </w:pPr>
      <w:r w:rsidRPr="0082309A">
        <w:rPr>
          <w:rFonts w:ascii="Yu Gothic UI Semilight" w:eastAsia="Yu Gothic UI Semilight" w:hAnsi="Yu Gothic UI Semilight" w:cs="Times New Roman"/>
          <w:bCs/>
          <w:sz w:val="24"/>
          <w:szCs w:val="24"/>
          <w:lang w:val="id"/>
        </w:rPr>
        <w:t>Kebijakan moneter yang diterapkan oleh Bank Indonesia untuk mengendalikan inflasi juga memainkan peran penting dalam stabilitas harga di Kota Medan. Melalui instrumen suku bunga acuan (BI-Rate), operasi pasar terbuka, serta pengendalian jumlah uang yang beredar, BI berupaya untuk menjaga inflasi tetap dalam kisaran target yang ditetapkan (Utami, 2019). Namun, efektivitas kebijakan ini sangat bergantung pada respons sektor riil dan perbankan dalam menyesuaikan suku bunga serta kondisi likuiditas di pasar keuangan (Safii et al., 2024). Selain itu, kebijakan fiskal seperti subsidi dan pengendalian harga barang tertentu juga menjadi faktor penting dalam menjaga stabilitas harga dan daya beli masyarakat di Kota Medan. Oleh karena itu, memahami interaksi antara inflasi dan IHK di Kota Medan dapat memberikan wawasan mengenai efektivitas kebijakan ekonomi dalam menjaga keseimbangan makroekonomi daerah.</w:t>
      </w:r>
    </w:p>
    <w:p w14:paraId="76D6A685"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bCs/>
          <w:sz w:val="24"/>
          <w:szCs w:val="24"/>
          <w:lang w:val="id"/>
        </w:rPr>
      </w:pPr>
      <w:r w:rsidRPr="0082309A">
        <w:rPr>
          <w:rFonts w:ascii="Yu Gothic UI Semilight" w:eastAsia="Yu Gothic UI Semilight" w:hAnsi="Yu Gothic UI Semilight" w:cs="Times New Roman"/>
          <w:bCs/>
          <w:sz w:val="24"/>
          <w:szCs w:val="24"/>
          <w:lang w:val="id"/>
        </w:rPr>
        <w:t>Penelitian sebelumnya menunjukkan bahwa terdapat hubungan yang signifikan antara inflasi dan perubahan IHK di berbagai kota di Indonesia. Studi oleh Said &amp; Awaludin (2022) menemukan bahwa inflasi memiliki pengaruh yang berbeda-beda terhadap IHK di tiap kota tergantung pada struktur ekonominya. Di kota-kota dengan ketergantungan tinggi pada sektor konsumsi, kenaikan inflasi cenderung lebih berdampak signifikan terhadap perubahan IHK. Studi lain oleh Wossen et al. (2018) menunjukkan bahwa faktor volatilitas harga bahan pokok memiliki kontribusi besar terhadap pergerakan IHK di daerah perkotaan, terutama di kota-kota besar yang memiliki tingkat konsumsi rumah tangga yang tinggi. Oleh karena itu, analisis empiris yang lebih mendalam diperlukan untuk memahami pola hubungan antara inflasi dan IHK secara spesifik di Kota Medan.</w:t>
      </w:r>
    </w:p>
    <w:p w14:paraId="56E1FC05" w14:textId="23BF230C" w:rsidR="00602AD9" w:rsidRDefault="0082309A" w:rsidP="0082309A">
      <w:pPr>
        <w:spacing w:after="0" w:line="240" w:lineRule="auto"/>
        <w:ind w:left="450" w:firstLine="540"/>
        <w:jc w:val="both"/>
        <w:rPr>
          <w:rFonts w:ascii="Yu Gothic UI Semilight" w:eastAsia="Yu Gothic UI Semilight" w:hAnsi="Yu Gothic UI Semilight" w:cs="Times New Roman"/>
          <w:bCs/>
          <w:sz w:val="24"/>
          <w:szCs w:val="24"/>
        </w:rPr>
      </w:pPr>
      <w:r w:rsidRPr="0082309A">
        <w:rPr>
          <w:rFonts w:ascii="Yu Gothic UI Semilight" w:eastAsia="Yu Gothic UI Semilight" w:hAnsi="Yu Gothic UI Semilight" w:cs="Times New Roman"/>
          <w:bCs/>
          <w:sz w:val="24"/>
          <w:szCs w:val="24"/>
          <w:lang w:val="id"/>
        </w:rPr>
        <w:t>Berdasarkan latar belakang tersebut, penelitian ini bertujuan untuk menganalisis pengaruh inflasi terhadap Indeks Harga Konsumen di Kota Medan dalam beberapa tahun terakhir. Penelitian ini diharapkan dapat memberikan kontribusi dalam memahami dinamika inflasi di tingkat lokal serta memberikan rekomendasi bagi pembuat kebijakan dalam merancang strategi pengendalian inflasi yang lebih efektif. Dengan demikian, penelitian ini tidak hanya relevan dalam konteks akademis, tetapi juga memiliki implikasi praktis dalam mendukung stabilitas ekonomi dan kesejahteraan masyarakat di Kota Medan.</w:t>
      </w:r>
    </w:p>
    <w:p w14:paraId="5989D37A" w14:textId="77777777" w:rsidR="00D7736D" w:rsidRPr="00602AD9" w:rsidRDefault="00D7736D" w:rsidP="00D7736D">
      <w:pPr>
        <w:spacing w:after="0" w:line="240" w:lineRule="auto"/>
        <w:ind w:left="450" w:firstLine="540"/>
        <w:jc w:val="both"/>
        <w:rPr>
          <w:rFonts w:ascii="Yu Gothic UI Semilight" w:eastAsia="Yu Gothic UI Semilight" w:hAnsi="Yu Gothic UI Semilight" w:cs="Times New Roman"/>
          <w:bCs/>
          <w:sz w:val="24"/>
          <w:szCs w:val="24"/>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1345AA5C"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sz w:val="24"/>
          <w:szCs w:val="24"/>
          <w:lang w:val="id"/>
        </w:rPr>
      </w:pPr>
      <w:r w:rsidRPr="0082309A">
        <w:rPr>
          <w:rFonts w:ascii="Yu Gothic UI Semilight" w:eastAsia="Yu Gothic UI Semilight" w:hAnsi="Yu Gothic UI Semilight" w:cs="Times New Roman"/>
          <w:sz w:val="24"/>
          <w:szCs w:val="24"/>
          <w:lang w:val="id"/>
        </w:rPr>
        <w:t xml:space="preserve">Penelitian ini merupakan penelitian kuantitatif yang bertujuan untuk menganalisis pengaruh inflasi terhadap Indeks Harga Konsumen (IHK) di Kota Medan. Penelitian kuantitatif dipilih karena memungkinkan pengukuran hubungan antara variabel dengan pendekatan statistik yang objektif dan sistematis (Sugiyono, 2021). Metode kuantitatif digunakan untuk menguji hipotesis mengenai keterkaitan inflasi sebagai variabel independen terhadap IHK sebagai variabel dependen dalam kurun waktu tertentu. </w:t>
      </w:r>
    </w:p>
    <w:p w14:paraId="72A54BC8"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sz w:val="24"/>
          <w:szCs w:val="24"/>
          <w:lang w:val="id"/>
        </w:rPr>
      </w:pPr>
      <w:r w:rsidRPr="0082309A">
        <w:rPr>
          <w:rFonts w:ascii="Yu Gothic UI Semilight" w:eastAsia="Yu Gothic UI Semilight" w:hAnsi="Yu Gothic UI Semilight" w:cs="Times New Roman"/>
          <w:sz w:val="24"/>
          <w:szCs w:val="24"/>
          <w:lang w:val="id"/>
        </w:rPr>
        <w:t>Data yang digunakan dalam penelitian ini merupakan data sekunder yang diperoleh dari publikasi resmi Badan Pusat Statistik (BPS) Kota Medan tahun 2025. Data sekunder dipilih karena dapat menyediakan informasi historis yang komprehensif terkait variabel yang diteliti tanpa perlu melakukan pengumpulan data secara langsung. Variabel yang digunakan dalam penelitian ini meliputi tingkat inflasi bulanan dan nilai Indeks Harga Konsumen (IHK) di Kota Medan dalam periode Januari 2022 hingga September 2024. Data inflasi diperoleh dari laporan perubahan harga barang dan jasa yang dihitung berdasarkan metode Indeks Harga Konsumen (IHK), sementara data IHK diambil dari statistik harga yang dipublikasikan oleh BPS Kota Medan. Penggunaan data selama lebih dari dua tahun bertujuan untuk menangkap pola fluktuasi yang terjadi akibat dinamika ekonomi, termasuk kebijakan moneter yang diberlakukan oleh Bank Indonesia selama periode tersebut.</w:t>
      </w:r>
    </w:p>
    <w:p w14:paraId="4A5938FB"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sz w:val="24"/>
          <w:szCs w:val="24"/>
          <w:lang w:val="id"/>
        </w:rPr>
      </w:pPr>
      <w:r w:rsidRPr="0082309A">
        <w:rPr>
          <w:rFonts w:ascii="Yu Gothic UI Semilight" w:eastAsia="Yu Gothic UI Semilight" w:hAnsi="Yu Gothic UI Semilight" w:cs="Times New Roman"/>
          <w:sz w:val="24"/>
          <w:szCs w:val="24"/>
          <w:lang w:val="id"/>
        </w:rPr>
        <w:t>Analisis data dalam penelitian ini dilakukan menggunakan metode analisis data regresi dengan perangkat lunak EViews 12. Model regresi OLS yang digunakan dalam penelitian ini dirumuskan sebagai berikut:</w:t>
      </w:r>
    </w:p>
    <w:p w14:paraId="2B579BF6" w14:textId="77777777" w:rsidR="0082309A" w:rsidRDefault="0082309A" w:rsidP="0082309A">
      <w:pPr>
        <w:spacing w:after="0" w:line="240" w:lineRule="auto"/>
        <w:ind w:left="450" w:firstLine="540"/>
        <w:jc w:val="both"/>
        <w:rPr>
          <w:rFonts w:ascii="Yu Gothic UI Semilight" w:eastAsia="Yu Gothic UI Semilight" w:hAnsi="Yu Gothic UI Semilight" w:cs="Times New Roman"/>
          <w:b/>
          <w:bCs/>
          <w:sz w:val="24"/>
          <w:szCs w:val="24"/>
          <w:lang w:val="id"/>
        </w:rPr>
      </w:pPr>
    </w:p>
    <w:p w14:paraId="5BEBE2CD" w14:textId="51119A41" w:rsidR="0082309A" w:rsidRPr="0082309A" w:rsidRDefault="0082309A" w:rsidP="0082309A">
      <w:pPr>
        <w:spacing w:line="240" w:lineRule="auto"/>
        <w:ind w:left="450" w:firstLine="540"/>
        <w:jc w:val="both"/>
        <w:rPr>
          <w:rFonts w:ascii="Yu Gothic UI Semilight" w:eastAsia="Yu Gothic UI Semilight" w:hAnsi="Yu Gothic UI Semilight" w:cs="Times New Roman"/>
          <w:b/>
          <w:bCs/>
          <w:sz w:val="24"/>
          <w:szCs w:val="24"/>
          <w:lang w:val="id"/>
        </w:rPr>
      </w:pPr>
      <m:oMathPara>
        <m:oMathParaPr>
          <m:jc m:val="center"/>
        </m:oMathParaPr>
        <m:oMath>
          <m:r>
            <m:rPr>
              <m:sty m:val="bi"/>
            </m:rPr>
            <w:rPr>
              <w:rFonts w:ascii="Cambria Math" w:eastAsia="Yu Gothic UI Semilight" w:hAnsi="Cambria Math" w:cs="Times New Roman"/>
              <w:sz w:val="24"/>
              <w:szCs w:val="24"/>
              <w:lang w:val="id"/>
            </w:rPr>
            <m:t>IH</m:t>
          </m:r>
          <m:sSub>
            <m:sSubPr>
              <m:ctrlPr>
                <w:rPr>
                  <w:rFonts w:ascii="Cambria Math" w:eastAsia="Yu Gothic UI Semilight" w:hAnsi="Cambria Math" w:cs="Times New Roman"/>
                  <w:b/>
                  <w:bCs/>
                  <w:i/>
                  <w:sz w:val="24"/>
                  <w:szCs w:val="24"/>
                  <w:lang w:val="id"/>
                </w:rPr>
              </m:ctrlPr>
            </m:sSubPr>
            <m:e>
              <m:r>
                <m:rPr>
                  <m:sty m:val="bi"/>
                </m:rPr>
                <w:rPr>
                  <w:rFonts w:ascii="Cambria Math" w:eastAsia="Yu Gothic UI Semilight" w:hAnsi="Cambria Math" w:cs="Times New Roman"/>
                  <w:sz w:val="24"/>
                  <w:szCs w:val="24"/>
                  <w:lang w:val="id"/>
                </w:rPr>
                <m:t>K</m:t>
              </m:r>
              <m:ctrlPr>
                <w:rPr>
                  <w:rFonts w:ascii="Cambria Math" w:eastAsia="Yu Gothic UI Semilight" w:hAnsi="Cambria Math" w:cs="Times New Roman"/>
                  <w:b/>
                  <w:bCs/>
                  <w:i/>
                  <w:iCs/>
                  <w:sz w:val="24"/>
                  <w:szCs w:val="24"/>
                  <w:lang w:val="id"/>
                </w:rPr>
              </m:ctrlPr>
            </m:e>
            <m:sub>
              <m:r>
                <m:rPr>
                  <m:sty m:val="bi"/>
                </m:rPr>
                <w:rPr>
                  <w:rFonts w:ascii="Cambria Math" w:eastAsia="Yu Gothic UI Semilight" w:hAnsi="Cambria Math" w:cs="Times New Roman"/>
                  <w:sz w:val="24"/>
                  <w:szCs w:val="24"/>
                  <w:lang w:val="id"/>
                </w:rPr>
                <m:t>it</m:t>
              </m:r>
            </m:sub>
          </m:sSub>
          <m:r>
            <m:rPr>
              <m:sty m:val="bi"/>
            </m:rPr>
            <w:rPr>
              <w:rFonts w:ascii="Cambria Math" w:eastAsia="Yu Gothic UI Semilight" w:hAnsi="Cambria Math" w:cs="Times New Roman"/>
              <w:sz w:val="24"/>
              <w:szCs w:val="24"/>
              <w:lang w:val="id"/>
            </w:rPr>
            <m:t>=α+</m:t>
          </m:r>
          <m:sSub>
            <m:sSubPr>
              <m:ctrlPr>
                <w:rPr>
                  <w:rFonts w:ascii="Cambria Math" w:eastAsia="Yu Gothic UI Semilight" w:hAnsi="Cambria Math" w:cs="Times New Roman"/>
                  <w:b/>
                  <w:bCs/>
                  <w:i/>
                  <w:sz w:val="24"/>
                  <w:szCs w:val="24"/>
                  <w:lang w:val="id"/>
                </w:rPr>
              </m:ctrlPr>
            </m:sSubPr>
            <m:e>
              <m:r>
                <m:rPr>
                  <m:sty m:val="bi"/>
                </m:rPr>
                <w:rPr>
                  <w:rFonts w:ascii="Cambria Math" w:eastAsia="Yu Gothic UI Semilight" w:hAnsi="Cambria Math" w:cs="Times New Roman"/>
                  <w:sz w:val="24"/>
                  <w:szCs w:val="24"/>
                  <w:lang w:val="id"/>
                </w:rPr>
                <m:t>β</m:t>
              </m:r>
              <m:ctrlPr>
                <w:rPr>
                  <w:rFonts w:ascii="Cambria Math" w:eastAsia="Yu Gothic UI Semilight" w:hAnsi="Cambria Math" w:cs="Times New Roman"/>
                  <w:b/>
                  <w:bCs/>
                  <w:i/>
                  <w:iCs/>
                  <w:sz w:val="24"/>
                  <w:szCs w:val="24"/>
                  <w:lang w:val="id"/>
                </w:rPr>
              </m:ctrlPr>
            </m:e>
            <m:sub>
              <m:r>
                <m:rPr>
                  <m:sty m:val="bi"/>
                </m:rPr>
                <w:rPr>
                  <w:rFonts w:ascii="Cambria Math" w:eastAsia="Yu Gothic UI Semilight" w:hAnsi="Cambria Math" w:cs="Times New Roman"/>
                  <w:sz w:val="24"/>
                  <w:szCs w:val="24"/>
                  <w:lang w:val="id"/>
                </w:rPr>
                <m:t>1</m:t>
              </m:r>
            </m:sub>
          </m:sSub>
          <m:r>
            <m:rPr>
              <m:sty m:val="bi"/>
            </m:rPr>
            <w:rPr>
              <w:rFonts w:ascii="Cambria Math" w:eastAsia="Yu Gothic UI Semilight" w:hAnsi="Cambria Math" w:cs="Times New Roman"/>
              <w:sz w:val="24"/>
              <w:szCs w:val="24"/>
              <w:lang w:val="id"/>
            </w:rPr>
            <m:t>Inflas</m:t>
          </m:r>
          <m:sSub>
            <m:sSubPr>
              <m:ctrlPr>
                <w:rPr>
                  <w:rFonts w:ascii="Cambria Math" w:eastAsia="Yu Gothic UI Semilight" w:hAnsi="Cambria Math" w:cs="Times New Roman"/>
                  <w:b/>
                  <w:bCs/>
                  <w:i/>
                  <w:sz w:val="24"/>
                  <w:szCs w:val="24"/>
                  <w:lang w:val="id"/>
                </w:rPr>
              </m:ctrlPr>
            </m:sSubPr>
            <m:e>
              <m:r>
                <m:rPr>
                  <m:sty m:val="bi"/>
                </m:rPr>
                <w:rPr>
                  <w:rFonts w:ascii="Cambria Math" w:eastAsia="Yu Gothic UI Semilight" w:hAnsi="Cambria Math" w:cs="Times New Roman"/>
                  <w:sz w:val="24"/>
                  <w:szCs w:val="24"/>
                  <w:lang w:val="id"/>
                </w:rPr>
                <m:t>i</m:t>
              </m:r>
              <m:ctrlPr>
                <w:rPr>
                  <w:rFonts w:ascii="Cambria Math" w:eastAsia="Yu Gothic UI Semilight" w:hAnsi="Cambria Math" w:cs="Times New Roman"/>
                  <w:b/>
                  <w:bCs/>
                  <w:i/>
                  <w:iCs/>
                  <w:sz w:val="24"/>
                  <w:szCs w:val="24"/>
                  <w:lang w:val="id"/>
                </w:rPr>
              </m:ctrlPr>
            </m:e>
            <m:sub>
              <m:r>
                <m:rPr>
                  <m:sty m:val="bi"/>
                </m:rPr>
                <w:rPr>
                  <w:rFonts w:ascii="Cambria Math" w:eastAsia="Yu Gothic UI Semilight" w:hAnsi="Cambria Math" w:cs="Times New Roman"/>
                  <w:sz w:val="24"/>
                  <w:szCs w:val="24"/>
                  <w:lang w:val="id"/>
                </w:rPr>
                <m:t>it</m:t>
              </m:r>
            </m:sub>
          </m:sSub>
          <m:r>
            <m:rPr>
              <m:sty m:val="bi"/>
            </m:rPr>
            <w:rPr>
              <w:rFonts w:ascii="Cambria Math" w:eastAsia="Yu Gothic UI Semilight" w:hAnsi="Cambria Math" w:cs="Times New Roman"/>
              <w:sz w:val="24"/>
              <w:szCs w:val="24"/>
              <w:lang w:val="id"/>
            </w:rPr>
            <m:t>+</m:t>
          </m:r>
          <m:sSub>
            <m:sSubPr>
              <m:ctrlPr>
                <w:rPr>
                  <w:rFonts w:ascii="Cambria Math" w:eastAsia="Yu Gothic UI Semilight" w:hAnsi="Cambria Math" w:cs="Times New Roman"/>
                  <w:b/>
                  <w:bCs/>
                  <w:i/>
                  <w:sz w:val="24"/>
                  <w:szCs w:val="24"/>
                  <w:lang w:val="id"/>
                </w:rPr>
              </m:ctrlPr>
            </m:sSubPr>
            <m:e>
              <m:r>
                <m:rPr>
                  <m:sty m:val="bi"/>
                </m:rPr>
                <w:rPr>
                  <w:rFonts w:ascii="Cambria Math" w:eastAsia="Yu Gothic UI Semilight" w:hAnsi="Cambria Math" w:cs="Times New Roman"/>
                  <w:sz w:val="24"/>
                  <w:szCs w:val="24"/>
                  <w:lang w:val="id"/>
                </w:rPr>
                <m:t>ε</m:t>
              </m:r>
              <m:ctrlPr>
                <w:rPr>
                  <w:rFonts w:ascii="Cambria Math" w:eastAsia="Yu Gothic UI Semilight" w:hAnsi="Cambria Math" w:cs="Times New Roman"/>
                  <w:b/>
                  <w:bCs/>
                  <w:i/>
                  <w:iCs/>
                  <w:sz w:val="24"/>
                  <w:szCs w:val="24"/>
                  <w:lang w:val="id"/>
                </w:rPr>
              </m:ctrlPr>
            </m:e>
            <m:sub>
              <m:r>
                <m:rPr>
                  <m:sty m:val="bi"/>
                </m:rPr>
                <w:rPr>
                  <w:rFonts w:ascii="Cambria Math" w:eastAsia="Yu Gothic UI Semilight" w:hAnsi="Cambria Math" w:cs="Times New Roman"/>
                  <w:sz w:val="24"/>
                  <w:szCs w:val="24"/>
                  <w:lang w:val="id"/>
                </w:rPr>
                <m:t>it</m:t>
              </m:r>
            </m:sub>
          </m:sSub>
        </m:oMath>
      </m:oMathPara>
    </w:p>
    <w:p w14:paraId="0368C8B7" w14:textId="77777777" w:rsidR="0082309A" w:rsidRPr="0082309A" w:rsidRDefault="0082309A" w:rsidP="0082309A">
      <w:pPr>
        <w:spacing w:after="0" w:line="240" w:lineRule="auto"/>
        <w:ind w:firstLine="450"/>
        <w:jc w:val="both"/>
        <w:rPr>
          <w:rFonts w:ascii="Yu Gothic UI Semilight" w:eastAsia="Yu Gothic UI Semilight" w:hAnsi="Yu Gothic UI Semilight" w:cs="Times New Roman"/>
          <w:sz w:val="24"/>
          <w:szCs w:val="24"/>
          <w:lang w:val="id"/>
        </w:rPr>
      </w:pPr>
      <w:r w:rsidRPr="0082309A">
        <w:rPr>
          <w:rFonts w:ascii="Yu Gothic UI Semilight" w:eastAsia="Yu Gothic UI Semilight" w:hAnsi="Yu Gothic UI Semilight" w:cs="Times New Roman"/>
          <w:sz w:val="24"/>
          <w:szCs w:val="24"/>
          <w:lang w:val="id"/>
        </w:rPr>
        <w:t>Keterangan:</w:t>
      </w:r>
    </w:p>
    <w:p w14:paraId="65E8B9B8" w14:textId="5F43891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sz w:val="24"/>
          <w:szCs w:val="24"/>
          <w:lang w:val="id"/>
        </w:rPr>
      </w:pPr>
      <m:oMath>
        <m:r>
          <w:rPr>
            <w:rFonts w:ascii="Cambria Math" w:eastAsia="Yu Gothic UI Semilight" w:hAnsi="Cambria Math" w:cs="Times New Roman"/>
            <w:sz w:val="24"/>
            <w:szCs w:val="24"/>
            <w:lang w:val="id"/>
          </w:rPr>
          <m:t>IH</m:t>
        </m:r>
        <m:sSub>
          <m:sSubPr>
            <m:ctrlPr>
              <w:rPr>
                <w:rFonts w:ascii="Cambria Math" w:eastAsia="Yu Gothic UI Semilight" w:hAnsi="Cambria Math" w:cs="Times New Roman"/>
                <w:i/>
                <w:sz w:val="24"/>
                <w:szCs w:val="24"/>
                <w:lang w:val="id"/>
              </w:rPr>
            </m:ctrlPr>
          </m:sSubPr>
          <m:e>
            <m:r>
              <w:rPr>
                <w:rFonts w:ascii="Cambria Math" w:eastAsia="Yu Gothic UI Semilight" w:hAnsi="Cambria Math" w:cs="Times New Roman"/>
                <w:sz w:val="24"/>
                <w:szCs w:val="24"/>
                <w:lang w:val="id"/>
              </w:rPr>
              <m:t>K</m:t>
            </m:r>
            <m:ctrlPr>
              <w:rPr>
                <w:rFonts w:ascii="Cambria Math" w:eastAsia="Yu Gothic UI Semilight" w:hAnsi="Cambria Math" w:cs="Times New Roman"/>
                <w:i/>
                <w:iCs/>
                <w:sz w:val="24"/>
                <w:szCs w:val="24"/>
                <w:lang w:val="id"/>
              </w:rPr>
            </m:ctrlPr>
          </m:e>
          <m:sub>
            <m:r>
              <w:rPr>
                <w:rFonts w:ascii="Cambria Math" w:eastAsia="Yu Gothic UI Semilight" w:hAnsi="Cambria Math" w:cs="Times New Roman"/>
                <w:sz w:val="24"/>
                <w:szCs w:val="24"/>
                <w:lang w:val="id"/>
              </w:rPr>
              <m:t>it</m:t>
            </m:r>
          </m:sub>
        </m:sSub>
      </m:oMath>
      <w:r w:rsidRPr="0082309A">
        <w:rPr>
          <w:rFonts w:ascii="Yu Gothic UI Semilight" w:eastAsia="Yu Gothic UI Semilight" w:hAnsi="Yu Gothic UI Semilight" w:cs="Times New Roman"/>
          <w:sz w:val="24"/>
          <w:szCs w:val="24"/>
          <w:lang w:val="id"/>
        </w:rPr>
        <w:t xml:space="preserve"> </w:t>
      </w:r>
      <w:r w:rsidRPr="0082309A">
        <w:rPr>
          <w:rFonts w:ascii="Yu Gothic UI Semilight" w:eastAsia="Yu Gothic UI Semilight" w:hAnsi="Yu Gothic UI Semilight" w:cs="Times New Roman"/>
          <w:sz w:val="24"/>
          <w:szCs w:val="24"/>
          <w:lang w:val="id"/>
        </w:rPr>
        <w:tab/>
        <w:t>: Indeks Harga Konsumen di Kota Medan pada waktu t</w:t>
      </w:r>
    </w:p>
    <w:p w14:paraId="2C29AC40" w14:textId="2523A4F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sz w:val="24"/>
          <w:szCs w:val="24"/>
          <w:lang w:val="id"/>
        </w:rPr>
      </w:pPr>
      <m:oMath>
        <m:r>
          <w:rPr>
            <w:rFonts w:ascii="Cambria Math" w:eastAsia="Yu Gothic UI Semilight" w:hAnsi="Cambria Math" w:cs="Times New Roman"/>
            <w:sz w:val="24"/>
            <w:szCs w:val="24"/>
            <w:lang w:val="id"/>
          </w:rPr>
          <m:t>Inflas</m:t>
        </m:r>
        <m:sSub>
          <m:sSubPr>
            <m:ctrlPr>
              <w:rPr>
                <w:rFonts w:ascii="Cambria Math" w:eastAsia="Yu Gothic UI Semilight" w:hAnsi="Cambria Math" w:cs="Times New Roman"/>
                <w:i/>
                <w:sz w:val="24"/>
                <w:szCs w:val="24"/>
                <w:lang w:val="id"/>
              </w:rPr>
            </m:ctrlPr>
          </m:sSubPr>
          <m:e>
            <m:r>
              <w:rPr>
                <w:rFonts w:ascii="Cambria Math" w:eastAsia="Yu Gothic UI Semilight" w:hAnsi="Cambria Math" w:cs="Times New Roman"/>
                <w:sz w:val="24"/>
                <w:szCs w:val="24"/>
                <w:lang w:val="id"/>
              </w:rPr>
              <m:t>i</m:t>
            </m:r>
            <m:ctrlPr>
              <w:rPr>
                <w:rFonts w:ascii="Cambria Math" w:eastAsia="Yu Gothic UI Semilight" w:hAnsi="Cambria Math" w:cs="Times New Roman"/>
                <w:i/>
                <w:iCs/>
                <w:sz w:val="24"/>
                <w:szCs w:val="24"/>
                <w:lang w:val="id"/>
              </w:rPr>
            </m:ctrlPr>
          </m:e>
          <m:sub>
            <m:r>
              <w:rPr>
                <w:rFonts w:ascii="Cambria Math" w:eastAsia="Yu Gothic UI Semilight" w:hAnsi="Cambria Math" w:cs="Times New Roman"/>
                <w:sz w:val="24"/>
                <w:szCs w:val="24"/>
                <w:lang w:val="id"/>
              </w:rPr>
              <m:t>it</m:t>
            </m:r>
          </m:sub>
        </m:sSub>
      </m:oMath>
      <w:r w:rsidRPr="0082309A">
        <w:rPr>
          <w:rFonts w:ascii="Yu Gothic UI Semilight" w:eastAsia="Yu Gothic UI Semilight" w:hAnsi="Yu Gothic UI Semilight" w:cs="Times New Roman"/>
          <w:sz w:val="24"/>
          <w:szCs w:val="24"/>
          <w:lang w:val="id"/>
        </w:rPr>
        <w:tab/>
        <w:t>: Tingkat inflasi di Kota Medan pada waktu t</w:t>
      </w:r>
    </w:p>
    <w:p w14:paraId="55C1D603" w14:textId="77777777" w:rsidR="0082309A" w:rsidRPr="0082309A" w:rsidRDefault="0082309A" w:rsidP="0082309A">
      <w:pPr>
        <w:spacing w:after="0" w:line="240" w:lineRule="auto"/>
        <w:ind w:left="450" w:firstLine="540"/>
        <w:jc w:val="both"/>
        <w:rPr>
          <w:rFonts w:ascii="Yu Gothic UI Semilight" w:eastAsia="Yu Gothic UI Semilight" w:hAnsi="Yu Gothic UI Semilight" w:cs="Times New Roman"/>
          <w:sz w:val="24"/>
          <w:szCs w:val="24"/>
          <w:lang w:val="id"/>
        </w:rPr>
      </w:pPr>
      <w:r w:rsidRPr="0082309A">
        <w:rPr>
          <w:rFonts w:ascii="Yu Gothic UI Semilight" w:eastAsia="Yu Gothic UI Semilight" w:hAnsi="Yu Gothic UI Semilight" w:cs="Times New Roman"/>
          <w:sz w:val="24"/>
          <w:szCs w:val="24"/>
          <w:lang w:val="id"/>
        </w:rPr>
        <w:t xml:space="preserve">α </w:t>
      </w:r>
      <w:r w:rsidRPr="0082309A">
        <w:rPr>
          <w:rFonts w:ascii="Yu Gothic UI Semilight" w:eastAsia="Yu Gothic UI Semilight" w:hAnsi="Yu Gothic UI Semilight" w:cs="Times New Roman"/>
          <w:sz w:val="24"/>
          <w:szCs w:val="24"/>
          <w:lang w:val="id"/>
        </w:rPr>
        <w:tab/>
      </w:r>
      <w:r w:rsidRPr="0082309A">
        <w:rPr>
          <w:rFonts w:ascii="Yu Gothic UI Semilight" w:eastAsia="Yu Gothic UI Semilight" w:hAnsi="Yu Gothic UI Semilight" w:cs="Times New Roman"/>
          <w:sz w:val="24"/>
          <w:szCs w:val="24"/>
          <w:lang w:val="id"/>
        </w:rPr>
        <w:tab/>
        <w:t>: Konstanta</w:t>
      </w:r>
    </w:p>
    <w:p w14:paraId="083C04DD" w14:textId="04F4850A" w:rsidR="0082309A" w:rsidRPr="0082309A" w:rsidRDefault="00000000" w:rsidP="0082309A">
      <w:pPr>
        <w:spacing w:after="0" w:line="240" w:lineRule="auto"/>
        <w:ind w:left="450" w:firstLine="540"/>
        <w:jc w:val="both"/>
        <w:rPr>
          <w:rFonts w:ascii="Yu Gothic UI Semilight" w:eastAsia="Yu Gothic UI Semilight" w:hAnsi="Yu Gothic UI Semilight" w:cs="Times New Roman"/>
          <w:sz w:val="24"/>
          <w:szCs w:val="24"/>
          <w:lang w:val="id"/>
        </w:rPr>
      </w:pPr>
      <m:oMath>
        <m:sSub>
          <m:sSubPr>
            <m:ctrlPr>
              <w:rPr>
                <w:rFonts w:ascii="Cambria Math" w:eastAsia="Yu Gothic UI Semilight" w:hAnsi="Cambria Math" w:cs="Times New Roman"/>
                <w:i/>
                <w:sz w:val="24"/>
                <w:szCs w:val="24"/>
                <w:lang w:val="id"/>
              </w:rPr>
            </m:ctrlPr>
          </m:sSubPr>
          <m:e>
            <m:r>
              <w:rPr>
                <w:rFonts w:ascii="Cambria Math" w:eastAsia="Yu Gothic UI Semilight" w:hAnsi="Cambria Math" w:cs="Times New Roman"/>
                <w:sz w:val="24"/>
                <w:szCs w:val="24"/>
                <w:lang w:val="id"/>
              </w:rPr>
              <m:t>β</m:t>
            </m:r>
            <m:ctrlPr>
              <w:rPr>
                <w:rFonts w:ascii="Cambria Math" w:eastAsia="Yu Gothic UI Semilight" w:hAnsi="Cambria Math" w:cs="Times New Roman"/>
                <w:i/>
                <w:iCs/>
                <w:sz w:val="24"/>
                <w:szCs w:val="24"/>
                <w:lang w:val="id"/>
              </w:rPr>
            </m:ctrlPr>
          </m:e>
          <m:sub>
            <m:r>
              <w:rPr>
                <w:rFonts w:ascii="Cambria Math" w:eastAsia="Yu Gothic UI Semilight" w:hAnsi="Cambria Math" w:cs="Times New Roman"/>
                <w:sz w:val="24"/>
                <w:szCs w:val="24"/>
                <w:lang w:val="id"/>
              </w:rPr>
              <m:t>1</m:t>
            </m:r>
          </m:sub>
        </m:sSub>
      </m:oMath>
      <w:r w:rsidR="0082309A" w:rsidRPr="0082309A">
        <w:rPr>
          <w:rFonts w:ascii="Yu Gothic UI Semilight" w:eastAsia="Yu Gothic UI Semilight" w:hAnsi="Yu Gothic UI Semilight" w:cs="Times New Roman"/>
          <w:sz w:val="24"/>
          <w:szCs w:val="24"/>
          <w:lang w:val="id"/>
        </w:rPr>
        <w:t xml:space="preserve"> </w:t>
      </w:r>
      <w:r w:rsidR="0082309A" w:rsidRPr="0082309A">
        <w:rPr>
          <w:rFonts w:ascii="Yu Gothic UI Semilight" w:eastAsia="Yu Gothic UI Semilight" w:hAnsi="Yu Gothic UI Semilight" w:cs="Times New Roman"/>
          <w:sz w:val="24"/>
          <w:szCs w:val="24"/>
          <w:lang w:val="id"/>
        </w:rPr>
        <w:tab/>
      </w:r>
      <w:r w:rsidR="0082309A" w:rsidRPr="0082309A">
        <w:rPr>
          <w:rFonts w:ascii="Yu Gothic UI Semilight" w:eastAsia="Yu Gothic UI Semilight" w:hAnsi="Yu Gothic UI Semilight" w:cs="Times New Roman"/>
          <w:sz w:val="24"/>
          <w:szCs w:val="24"/>
          <w:lang w:val="id"/>
        </w:rPr>
        <w:tab/>
        <w:t>: Koefisien regresi inflasi terhadap IHK</w:t>
      </w:r>
    </w:p>
    <w:p w14:paraId="0193489D" w14:textId="0B020049" w:rsidR="0082309A" w:rsidRPr="0082309A" w:rsidRDefault="00000000" w:rsidP="0082309A">
      <w:pPr>
        <w:spacing w:after="0" w:line="240" w:lineRule="auto"/>
        <w:ind w:left="450" w:firstLine="540"/>
        <w:jc w:val="both"/>
        <w:rPr>
          <w:rFonts w:ascii="Yu Gothic UI Semilight" w:eastAsia="Yu Gothic UI Semilight" w:hAnsi="Yu Gothic UI Semilight" w:cs="Times New Roman"/>
          <w:sz w:val="24"/>
          <w:szCs w:val="24"/>
          <w:lang w:val="id"/>
        </w:rPr>
      </w:pPr>
      <m:oMath>
        <m:sSub>
          <m:sSubPr>
            <m:ctrlPr>
              <w:rPr>
                <w:rFonts w:ascii="Cambria Math" w:eastAsia="Yu Gothic UI Semilight" w:hAnsi="Cambria Math" w:cs="Times New Roman"/>
                <w:i/>
                <w:sz w:val="24"/>
                <w:szCs w:val="24"/>
                <w:lang w:val="id"/>
              </w:rPr>
            </m:ctrlPr>
          </m:sSubPr>
          <m:e>
            <m:r>
              <w:rPr>
                <w:rFonts w:ascii="Cambria Math" w:eastAsia="Yu Gothic UI Semilight" w:hAnsi="Cambria Math" w:cs="Times New Roman"/>
                <w:sz w:val="24"/>
                <w:szCs w:val="24"/>
                <w:lang w:val="id"/>
              </w:rPr>
              <m:t>ε</m:t>
            </m:r>
            <m:ctrlPr>
              <w:rPr>
                <w:rFonts w:ascii="Cambria Math" w:eastAsia="Yu Gothic UI Semilight" w:hAnsi="Cambria Math" w:cs="Times New Roman"/>
                <w:i/>
                <w:iCs/>
                <w:sz w:val="24"/>
                <w:szCs w:val="24"/>
                <w:lang w:val="id"/>
              </w:rPr>
            </m:ctrlPr>
          </m:e>
          <m:sub>
            <m:r>
              <w:rPr>
                <w:rFonts w:ascii="Cambria Math" w:eastAsia="Yu Gothic UI Semilight" w:hAnsi="Cambria Math" w:cs="Times New Roman"/>
                <w:sz w:val="24"/>
                <w:szCs w:val="24"/>
                <w:lang w:val="id"/>
              </w:rPr>
              <m:t>it</m:t>
            </m:r>
          </m:sub>
        </m:sSub>
      </m:oMath>
      <w:r w:rsidR="0082309A" w:rsidRPr="0082309A">
        <w:rPr>
          <w:rFonts w:ascii="Yu Gothic UI Semilight" w:eastAsia="Yu Gothic UI Semilight" w:hAnsi="Yu Gothic UI Semilight" w:cs="Times New Roman"/>
          <w:sz w:val="24"/>
          <w:szCs w:val="24"/>
          <w:lang w:val="id"/>
        </w:rPr>
        <w:t xml:space="preserve"> </w:t>
      </w:r>
      <w:r w:rsidR="0082309A" w:rsidRPr="0082309A">
        <w:rPr>
          <w:rFonts w:ascii="Yu Gothic UI Semilight" w:eastAsia="Yu Gothic UI Semilight" w:hAnsi="Yu Gothic UI Semilight" w:cs="Times New Roman"/>
          <w:sz w:val="24"/>
          <w:szCs w:val="24"/>
          <w:lang w:val="id"/>
        </w:rPr>
        <w:tab/>
      </w:r>
      <w:r w:rsidR="0082309A" w:rsidRPr="0082309A">
        <w:rPr>
          <w:rFonts w:ascii="Yu Gothic UI Semilight" w:eastAsia="Yu Gothic UI Semilight" w:hAnsi="Yu Gothic UI Semilight" w:cs="Times New Roman"/>
          <w:sz w:val="24"/>
          <w:szCs w:val="24"/>
          <w:lang w:val="id"/>
        </w:rPr>
        <w:tab/>
        <w:t xml:space="preserve">: </w:t>
      </w:r>
      <m:oMath>
        <m:r>
          <w:rPr>
            <w:rFonts w:ascii="Cambria Math" w:eastAsia="Yu Gothic UI Semilight" w:hAnsi="Cambria Math" w:cs="Times New Roman"/>
            <w:sz w:val="24"/>
            <w:szCs w:val="24"/>
            <w:lang w:val="id"/>
          </w:rPr>
          <m:t>Error term</m:t>
        </m:r>
      </m:oMath>
    </w:p>
    <w:p w14:paraId="4066AD53" w14:textId="0A55569A" w:rsidR="00EB38FE" w:rsidRPr="00EB38FE" w:rsidRDefault="0082309A" w:rsidP="0082309A">
      <w:pPr>
        <w:spacing w:after="0" w:line="240" w:lineRule="auto"/>
        <w:ind w:left="450" w:firstLine="540"/>
        <w:jc w:val="both"/>
        <w:rPr>
          <w:rFonts w:ascii="Yu Gothic UI Semilight" w:eastAsia="Yu Gothic UI Semilight" w:hAnsi="Yu Gothic UI Semilight" w:cs="Times New Roman"/>
          <w:sz w:val="24"/>
          <w:szCs w:val="24"/>
          <w:lang w:val="id"/>
        </w:rPr>
      </w:pPr>
      <w:r w:rsidRPr="0082309A">
        <w:rPr>
          <w:rFonts w:ascii="Yu Gothic UI Semilight" w:eastAsia="Yu Gothic UI Semilight" w:hAnsi="Yu Gothic UI Semilight" w:cs="Times New Roman"/>
          <w:sz w:val="24"/>
          <w:szCs w:val="24"/>
          <w:lang w:val="id"/>
        </w:rPr>
        <w:t>Analisis dilakukan dengan uji statistik seperti uji F, uji t, dan uji R² akan dilakukan untuk mengukur signifikansi hubungan antara inflasi dan IHK di Kota Medan. Hasil analisis ini diharapkan dapat memberikan wawasan mengenai bagaimana perubahan tingkat inflasi memengaruhi pergerakan IHK serta membantu pemerintah daerah dalam merumuskan kebijakan pengendalian harga dan inflasi yang lebih efektif.</w:t>
      </w:r>
      <w:r w:rsidR="00EB38FE" w:rsidRPr="00EB38FE">
        <w:rPr>
          <w:rFonts w:ascii="Yu Gothic UI Semilight" w:eastAsia="Yu Gothic UI Semilight" w:hAnsi="Yu Gothic UI Semilight" w:cs="Times New Roman"/>
          <w:sz w:val="24"/>
          <w:szCs w:val="24"/>
          <w:lang w:val="id"/>
        </w:rPr>
        <w:t xml:space="preserve"> </w:t>
      </w:r>
    </w:p>
    <w:p w14:paraId="0F623822" w14:textId="77777777" w:rsidR="00DB2128" w:rsidRDefault="00DB2128" w:rsidP="00DB2128">
      <w:pPr>
        <w:spacing w:after="0" w:line="240" w:lineRule="auto"/>
        <w:ind w:left="426"/>
        <w:jc w:val="center"/>
        <w:rPr>
          <w:rFonts w:ascii="Yu Gothic UI Semilight" w:eastAsia="Yu Gothic UI Semilight" w:hAnsi="Yu Gothic UI Semilight" w:cs="Times New Roman"/>
          <w:b/>
          <w:sz w:val="24"/>
          <w:szCs w:val="24"/>
        </w:rPr>
      </w:pPr>
    </w:p>
    <w:p w14:paraId="72737607" w14:textId="0990B451" w:rsidR="003D5020" w:rsidRDefault="00FD73EF" w:rsidP="00DB2128">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06CC8771" w14:textId="77777777" w:rsidR="00E011FC" w:rsidRPr="00E011FC" w:rsidRDefault="00E011FC" w:rsidP="00E011FC">
      <w:pPr>
        <w:pStyle w:val="BodyText"/>
        <w:ind w:right="26" w:firstLine="426"/>
        <w:jc w:val="both"/>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sz w:val="24"/>
          <w:szCs w:val="24"/>
          <w:lang w:val="id"/>
        </w:rPr>
        <w:t>Hasil Penelitian</w:t>
      </w:r>
    </w:p>
    <w:p w14:paraId="6F74AF9F" w14:textId="77777777" w:rsidR="00E011FC" w:rsidRPr="00E011FC" w:rsidRDefault="00E011FC" w:rsidP="00E011FC">
      <w:pPr>
        <w:pStyle w:val="BodyText"/>
        <w:ind w:left="450" w:right="26"/>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b/>
          <w:bCs/>
          <w:sz w:val="24"/>
          <w:szCs w:val="24"/>
          <w:lang w:val="id"/>
        </w:rPr>
        <w:t>Analisis Deskriptif Indeks Harga Konsumen (IHK) dan Pertumbuhan Inflasi di Kota Medan</w:t>
      </w:r>
    </w:p>
    <w:p w14:paraId="6A826217"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Analisis deskriptif bertujuan untuk memberikan gambaran mengenai pergerakan Indeks Harga Konsumen (IHK) dan pertumbuhan inflasi di Kota Medan selama periode Januari 2022 hingga September 2024. Data menunjukkan adanya fluktuasi dalam IHK dan inflasi, yang mencerminkan dinamika ekonomi di Kota Medan dalam kurun waktu tersebut. IHK mengalami tren peningkatan secara umum, meskipun terdapat beberapa periode penurunan. Sementara itu, inflasi menunjukkan pola yang lebih bervariasi, dengan periode pertumbuhan positif yang diikuti oleh penurunan inflasi dalam beberapa bulan tertentu. Pola ini mencerminkan faktor-faktor ekonomi yang mempengaruhi harga barang dan jasa, termasuk kebijakan moneter, daya beli masyarakat, dan kondisi pasar secara keseluruhan.</w:t>
      </w:r>
    </w:p>
    <w:p w14:paraId="26FA0BF6"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Pergerakan IHK di Kota Medan selama periode Januari 2022 hingga September 2024 menunjukkan tren kenaikan yang cukup stabil hingga akhir tahun 2023, sebelum mengalami penurunan tajam pada awal tahun 2024. Pada awal periode, IHK berada pada angka 107,02 di Januari 2022 dan meningkat hingga 112,38 pada Desember 2022, dengan beberapa fluktuasi kecil di antaranya. Peningkatan signifikan terjadi pada Januari 2023, di mana IHK melonjak menjadi 113,35, mencerminkan kenaikan harga yang cukup tinggi dalam satu bulan. Selama tahun 2023, IHK bergerak relatif stabil dengan kenaikan bertahap hingga mencapai 114,84 di Desember 2023. Namun, memasuki tahun 2024, terjadi penurunan yang cukup drastis, di mana IHK turun ke 105,09 pada Januari 2024 dan terus mengalami fluktuasi kecil hingga mencapai 105,29 pada September 2024. Penurunan ini mencerminkan adanya faktor ekonomi yang menyebabkan harga barang dan jasa di Kota Medan mengalami koreksi, yang bisa disebabkan oleh kebijakan ekonomi, penyesuaian harga energi, atau faktor eksternal lainnya. Adapun pergerakan IHK digambarkan pada grafik di bawah ini.</w:t>
      </w:r>
    </w:p>
    <w:p w14:paraId="61A99CA7" w14:textId="77777777" w:rsidR="00E011FC" w:rsidRPr="00E011FC" w:rsidRDefault="00E011FC" w:rsidP="00E011FC">
      <w:pPr>
        <w:pStyle w:val="BodyText"/>
        <w:spacing w:before="240"/>
        <w:ind w:left="450" w:right="26" w:firstLine="540"/>
        <w:jc w:val="center"/>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noProof/>
          <w:sz w:val="24"/>
          <w:szCs w:val="24"/>
          <w:lang w:val="id"/>
        </w:rPr>
        <w:drawing>
          <wp:inline distT="0" distB="0" distL="0" distR="0" wp14:anchorId="2E6111CD" wp14:editId="5CF4B5DF">
            <wp:extent cx="4572000" cy="2743200"/>
            <wp:effectExtent l="0" t="0" r="0" b="0"/>
            <wp:docPr id="395853695" name="Chart 1">
              <a:extLst xmlns:a="http://schemas.openxmlformats.org/drawingml/2006/main">
                <a:ext uri="{FF2B5EF4-FFF2-40B4-BE49-F238E27FC236}">
                  <a16:creationId xmlns:a16="http://schemas.microsoft.com/office/drawing/2014/main" id="{255497E0-1D17-2FE5-8A8B-5339F4B399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59B0C5" w14:textId="77777777" w:rsidR="00E011FC" w:rsidRPr="00E011FC" w:rsidRDefault="00E011FC" w:rsidP="00E011FC">
      <w:pPr>
        <w:pStyle w:val="BodyText"/>
        <w:spacing w:after="240"/>
        <w:ind w:left="450" w:right="26" w:firstLine="540"/>
        <w:jc w:val="center"/>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sz w:val="24"/>
          <w:szCs w:val="24"/>
          <w:lang w:val="id"/>
        </w:rPr>
        <w:t>Gambar 1. Grafik IHK Kota Medan Periode Januari 2022 – September 2024</w:t>
      </w:r>
    </w:p>
    <w:p w14:paraId="19DF5D7F"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Sementara itu, pada pertumbuhan inflasi di Kota Medan selama periode yang dianalisis menunjukkan pola yang cukup fluktuatif. Pada awal tahun 2022, inflasi mengalami beberapa perubahan signifikan, dengan kenaikan tertinggi terjadi pada Desember 2022 sebesar 1,54%. Puncak lonjakan inflasi terjadi pada Januari 2023 dengan angka 6,1%, yang merupakan pertumbuhan tertinggi dalam periode ini. Setelah lonjakan tersebut, inflasi kembali mengalami penurunan bertahap, dengan beberapa bulan mencatat inflasi negatif, seperti pada Maret, April, dan Mei 2023. Fluktuasi inflasi ini menunjukkan adanya dinamika harga yang dipengaruhi oleh berbagai faktor, termasuk perubahan harga komoditas, kebijakan fiskal dan moneter, serta faktor eksternal seperti harga energi global. Pada tahun 2024, inflasi mengalami beberapa kali penurunan, dengan tingkat inflasi negatif pada bulan Agustus (-0,45%) dan September (-0,64%), menunjukkan adanya tekanan deflasi yang dapat berdampak pada daya beli masyarakat dan aktivitas ekonomi secara keseluruhan. Pergerakan ini mencerminkan tantangan ekonomi yang dihadapi Kota Medan dalam menjaga stabilitas harga dan daya beli masyarakat selama periode tersebut. Adapun pergerakan Inflasi digambarkan pada grafik di bawah ini.</w:t>
      </w:r>
    </w:p>
    <w:p w14:paraId="29128224" w14:textId="77777777" w:rsidR="00E011FC" w:rsidRPr="00E011FC" w:rsidRDefault="00E011FC" w:rsidP="00E011FC">
      <w:pPr>
        <w:pStyle w:val="BodyText"/>
        <w:ind w:left="450" w:right="26" w:firstLine="540"/>
        <w:jc w:val="center"/>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noProof/>
          <w:sz w:val="24"/>
          <w:szCs w:val="24"/>
          <w:lang w:val="id"/>
        </w:rPr>
        <w:drawing>
          <wp:inline distT="0" distB="0" distL="0" distR="0" wp14:anchorId="32F20208" wp14:editId="0944B477">
            <wp:extent cx="4572000" cy="2743200"/>
            <wp:effectExtent l="0" t="0" r="0" b="0"/>
            <wp:docPr id="79827944" name="Chart 1">
              <a:extLst xmlns:a="http://schemas.openxmlformats.org/drawingml/2006/main">
                <a:ext uri="{FF2B5EF4-FFF2-40B4-BE49-F238E27FC236}">
                  <a16:creationId xmlns:a16="http://schemas.microsoft.com/office/drawing/2014/main" id="{BB0AB707-0B78-A33F-0387-F63F346C6E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1770FA" w14:textId="77777777" w:rsidR="00E011FC" w:rsidRPr="00E011FC" w:rsidRDefault="00E011FC" w:rsidP="00E011FC">
      <w:pPr>
        <w:pStyle w:val="BodyText"/>
        <w:spacing w:after="240"/>
        <w:ind w:left="450" w:right="26" w:firstLine="540"/>
        <w:jc w:val="center"/>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sz w:val="24"/>
          <w:szCs w:val="24"/>
          <w:lang w:val="id"/>
        </w:rPr>
        <w:t>Gambar 2. Grafik Inflasi Kota Medan Periode Januari 2022 – September 2024</w:t>
      </w:r>
    </w:p>
    <w:p w14:paraId="0C55EEC1" w14:textId="77777777" w:rsidR="00E011FC" w:rsidRPr="00E011FC" w:rsidRDefault="00E011FC" w:rsidP="00E011FC">
      <w:pPr>
        <w:pStyle w:val="BodyText"/>
        <w:ind w:right="26" w:firstLine="450"/>
        <w:jc w:val="both"/>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sz w:val="24"/>
          <w:szCs w:val="24"/>
          <w:lang w:val="id"/>
        </w:rPr>
        <w:t>Analisis Regresi</w:t>
      </w:r>
    </w:p>
    <w:p w14:paraId="57B523F9"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Analisis regresi Ordinary Least Squares (OLS) menggunakan perangkat lunak EViews 12 dilakukan untuk menilai pengaruh inflasi terhadap Indeks Harga Konsumen (IHK) di Kota Medan dalam periode Januari 2022 hingga September 2024. Dengan menggunakan metode kuadrat terkecil biasa (OLS), penelitian ini bertujuan untuk menguji hubungan antara variabel independen (inflasi) dan variabel dependen (IHK) guna mengetahui signifikansi pengaruhnya. Uji statistik seperti uji F, uji t, dan koefisien determinasi (R²) digunakan untuk mengevaluasi kekuatan model dalam menjelaskan variabilitas IHK yang dipengaruhi oleh inflasi.</w:t>
      </w:r>
    </w:p>
    <w:p w14:paraId="276B6671" w14:textId="77777777" w:rsidR="00E011FC" w:rsidRPr="00E011FC" w:rsidRDefault="00E011FC" w:rsidP="00E011FC">
      <w:pPr>
        <w:pStyle w:val="BodyText"/>
        <w:spacing w:before="240"/>
        <w:ind w:left="450" w:right="26" w:firstLine="540"/>
        <w:jc w:val="center"/>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noProof/>
          <w:sz w:val="24"/>
          <w:szCs w:val="24"/>
          <w:lang w:val="id"/>
        </w:rPr>
        <w:drawing>
          <wp:inline distT="0" distB="0" distL="0" distR="0" wp14:anchorId="2BCBFE9E" wp14:editId="4BF3AE84">
            <wp:extent cx="2711450" cy="1888572"/>
            <wp:effectExtent l="0" t="0" r="0" b="0"/>
            <wp:docPr id="4" name="Picture 3">
              <a:extLst xmlns:a="http://schemas.openxmlformats.org/drawingml/2006/main">
                <a:ext uri="{FF2B5EF4-FFF2-40B4-BE49-F238E27FC236}">
                  <a16:creationId xmlns:a16="http://schemas.microsoft.com/office/drawing/2014/main" id="{475396A6-94BF-D241-AFE7-C84C3F0A2E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75396A6-94BF-D241-AFE7-C84C3F0A2EED}"/>
                        </a:ext>
                      </a:extLst>
                    </pic:cNvPr>
                    <pic:cNvPicPr>
                      <a:picLocks noChangeAspect="1"/>
                    </pic:cNvPicPr>
                  </pic:nvPicPr>
                  <pic:blipFill>
                    <a:blip r:embed="rId14"/>
                    <a:stretch>
                      <a:fillRect/>
                    </a:stretch>
                  </pic:blipFill>
                  <pic:spPr>
                    <a:xfrm>
                      <a:off x="0" y="0"/>
                      <a:ext cx="2717348" cy="1892680"/>
                    </a:xfrm>
                    <a:prstGeom prst="rect">
                      <a:avLst/>
                    </a:prstGeom>
                  </pic:spPr>
                </pic:pic>
              </a:graphicData>
            </a:graphic>
          </wp:inline>
        </w:drawing>
      </w:r>
    </w:p>
    <w:p w14:paraId="5E45C67B" w14:textId="77777777" w:rsidR="00E011FC" w:rsidRPr="00E011FC" w:rsidRDefault="00E011FC" w:rsidP="00E011FC">
      <w:pPr>
        <w:pStyle w:val="BodyText"/>
        <w:spacing w:after="240"/>
        <w:ind w:left="450" w:right="26" w:firstLine="540"/>
        <w:jc w:val="center"/>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sz w:val="24"/>
          <w:szCs w:val="24"/>
          <w:lang w:val="id"/>
        </w:rPr>
        <w:t>Gambar 3. Hasil Analisis Regresi E-Views</w:t>
      </w:r>
    </w:p>
    <w:p w14:paraId="35DC36D3" w14:textId="77777777" w:rsidR="00E011FC" w:rsidRPr="00E011FC" w:rsidRDefault="00E011FC" w:rsidP="00E011FC">
      <w:pPr>
        <w:pStyle w:val="BodyText"/>
        <w:ind w:right="26" w:firstLine="45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 xml:space="preserve">Berdasarkan hasil regresi, persamaan regresi yang diperoleh adalah: </w:t>
      </w:r>
    </w:p>
    <w:p w14:paraId="5C3003D5" w14:textId="76DB5963" w:rsidR="00E011FC" w:rsidRPr="00E011FC" w:rsidRDefault="00E011FC" w:rsidP="00E011FC">
      <w:pPr>
        <w:pStyle w:val="BodyText"/>
        <w:spacing w:before="240" w:after="240"/>
        <w:ind w:left="450" w:right="26" w:firstLine="540"/>
        <w:jc w:val="both"/>
        <w:rPr>
          <w:rFonts w:ascii="Yu Gothic UI Semilight" w:eastAsia="Yu Gothic UI Semilight" w:hAnsi="Yu Gothic UI Semilight" w:cs="Times New Roman"/>
          <w:b/>
          <w:bCs/>
          <w:sz w:val="24"/>
          <w:szCs w:val="24"/>
          <w:lang w:val="id"/>
        </w:rPr>
      </w:pPr>
      <m:oMathPara>
        <m:oMathParaPr>
          <m:jc m:val="center"/>
        </m:oMathParaPr>
        <m:oMath>
          <m:r>
            <m:rPr>
              <m:sty m:val="bi"/>
            </m:rPr>
            <w:rPr>
              <w:rFonts w:ascii="Cambria Math" w:eastAsia="Yu Gothic UI Semilight" w:hAnsi="Cambria Math" w:cs="Times New Roman"/>
              <w:sz w:val="24"/>
              <w:szCs w:val="24"/>
              <w:lang w:val="id"/>
            </w:rPr>
            <m:t xml:space="preserve">IHK=109.7452+0.266410×INFLASI </m:t>
          </m:r>
        </m:oMath>
      </m:oMathPara>
    </w:p>
    <w:p w14:paraId="390FF1A6"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Koefisien konstanta (C) sebesar 109.7452 menunjukkan bahwa ketika inflasi bernilai nol, nilai IHK diprediksi sebesar 109.7452. Sementara itu, koefisien inflasi sebesar 0.266410 mengindikasikan bahwa setiap peningkatan inflasi sebesar satu satuan akan meningkatkan IHK sebesar 0.266410 unit, dengan asumsi variabel lain tetap konstan.</w:t>
      </w:r>
    </w:p>
    <w:p w14:paraId="33B63D08"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Hasil uji t menunjukkan bahwa variabel inflasi memiliki t-statistik sebesar 4.5449 dengan nilai probabilitas 0.0359. Karena nilai probabilitas ini lebih kecil dari 0.05, dapat disimpulkan bahwa inflasi berpengaruh signifikan terhadap IHK pada tingkat signifikansi 5%. Ini mengindikasikan bahwa perubahan dalam tingkat inflasi memiliki dampak yang nyata terhadap pergerakan IHK di Kota Medan selama periode penelitian.</w:t>
      </w:r>
    </w:p>
    <w:p w14:paraId="71501992"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Uji F menunjukkan nilai F-statistik sebesar 5.296907 dengan probabilitas 0.025897, yang lebih kecil dari 0.05. Ini mengindikasikan bahwa model regresi secara keseluruhan signifikan, sehingga inflasi secara bersama-sama berpengaruh terhadap IHK. Selain itu, nilai R-squared sebesar 0.394868 menunjukkan bahwa sekitar 39.49% variasi dalam IHK dapat dijelaskan oleh perubahan inflasi, sedangkan sisanya dijelaskan oleh variabel lain di luar model. Meskipun hubungan ini signifikan, nilai R-squared yang relatif rendah mengindikasikan bahwa terdapat faktor lain yang turut mempengaruhi IHK selain inflasi.</w:t>
      </w:r>
    </w:p>
    <w:p w14:paraId="28F1E2B0" w14:textId="77777777" w:rsidR="00E011FC" w:rsidRPr="00E011FC" w:rsidRDefault="00E011FC" w:rsidP="00E011FC">
      <w:pPr>
        <w:pStyle w:val="BodyText"/>
        <w:spacing w:before="240"/>
        <w:ind w:right="26" w:firstLine="450"/>
        <w:jc w:val="both"/>
        <w:rPr>
          <w:rFonts w:ascii="Yu Gothic UI Semilight" w:eastAsia="Yu Gothic UI Semilight" w:hAnsi="Yu Gothic UI Semilight" w:cs="Times New Roman"/>
          <w:b/>
          <w:bCs/>
          <w:sz w:val="24"/>
          <w:szCs w:val="24"/>
          <w:lang w:val="id"/>
        </w:rPr>
      </w:pPr>
      <w:r w:rsidRPr="00E011FC">
        <w:rPr>
          <w:rFonts w:ascii="Yu Gothic UI Semilight" w:eastAsia="Yu Gothic UI Semilight" w:hAnsi="Yu Gothic UI Semilight" w:cs="Times New Roman"/>
          <w:b/>
          <w:bCs/>
          <w:sz w:val="24"/>
          <w:szCs w:val="24"/>
          <w:lang w:val="id"/>
        </w:rPr>
        <w:t>Pembahasan</w:t>
      </w:r>
    </w:p>
    <w:p w14:paraId="62923C19"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Hasil analisis regresi menunjukkan bahwa inflasi memiliki pengaruh positif dan signifikan terhadap Indeks Harga Konsumen (IHK) di Kota Medan selama periode Januari 2022 hingga September 2024. Koefisien regresi sebesar 0.266410 dengan nilai probabilitas 0.0359 (&lt; 0.05) mengindikasikan bahwa kenaikan inflasi berkontribusi terhadap peningkatan IHK secara statistik signifikan. Temuan ini sejalan dengan teori ekonomi makro yang menyatakan bahwa inflasi memiliki dampak langsung terhadap harga barang dan jasa, yang tercermin dalam pergerakan IHK (Silalahi &amp; Sihombing, 2021). Kenaikan inflasi mengindikasikan peningkatan biaya produksi dan distribusi, yang pada akhirnya mendorong harga-harga meningkat (Darma et al., 2018). Dengan demikian, hubungan positif antara inflasi dan IHK yang ditemukan dalam penelitian ini memperkuat pemahaman bahwa inflasi merupakan faktor utama dalam menentukan perubahan harga konsumen di suatu wilayah.</w:t>
      </w:r>
    </w:p>
    <w:p w14:paraId="1F1873D6"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Penelitian sebelumnya oleh Cavallo (2024) juga menemukan bahwa inflasi yang meningkat cenderung menyebabkan lonjakan IHK karena harga barang dan jasa yang lebih tinggi akan tercermin dalam pengukuran indeks harga. Studi serupa di Indonesia yang dilakukan oleh Wahyudi &amp; Riana (2024) mengonfirmasi bahwa kenaikan inflasi yang disebabkan oleh faktor seperti biaya energi, kenaikan harga pangan, dan gangguan rantai pasok global berkontribusi pada peningkatan IHK. Di Kota Medan, faktor utama yang mendorong inflasi meliputi kenaikan harga bahan bakar, fluktuasi harga bahan pokok, serta ketidakstabilan nilai tukar yang berpengaruh pada harga barang impor. Oleh karena itu, peningkatan inflasi yang teridentifikasi dalam penelitian ini berkontribusi terhadap peningkatan harga barang dan jasa yang diukur dalam IHK, sesuai dengan pola yang telah diamati dalam berbagai penelitian sebelumnya.</w:t>
      </w:r>
    </w:p>
    <w:p w14:paraId="082089AD"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Namun, meskipun hubungan antara inflasi dan IHK signifikan, nilai R-squared sebesar 0.394868 menunjukkan bahwa hanya sekitar 39.49% variasi dalam IHK dapat dijelaskan oleh inflasi, sementara sisanya dipengaruhi oleh faktor lain. Studi yang dilakukan oleh Maharani &amp; Riofita (2024) mengungkapkan bahwa selain inflasi, faktor eksternal seperti kebijakan moneter, tingkat suku bunga, dan daya beli masyarakat juga memainkan peran penting dalam menentukan IHK. Selain itu, penelitian yang dilakukan oleh Ahmad et al. (2024) menegaskan bahwa faktor struktural seperti efisiensi distribusi barang, regulasi harga, serta dinamika penawaran dan permintaan domestik turut berkontribusi dalam pembentukan IHK. Oleh karena itu, hasil penelitian ini mengindikasikan perlunya analisis lebih lanjut yang mempertimbangkan variabel lain yang dapat meningkatkan akurasi model dalam menjelaskan pergerakan IHK di Kota Medan.</w:t>
      </w:r>
    </w:p>
    <w:p w14:paraId="634E5669" w14:textId="77777777" w:rsidR="00E011FC" w:rsidRPr="00E011FC"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Implikasi dari temuan ini sangat penting bagi para pembuat kebijakan, terutama dalam mengelola stabilitas harga dan pengendalian inflasi di Kota Medan. Berdasarkan teori Keynesian, inflasi yang tinggi dapat mengurangi daya beli masyarakat dan meningkatkan ketidakpastian ekonomi, yang pada akhirnya dapat menghambat pertumbuhan ekonomi (Abbass et al., 2022). Oleh karena itu, Bank Indonesia dan pemerintah daerah perlu menerapkan kebijakan yang lebih efektif dalam mengendalikan inflasi, seperti penguatan kebijakan fiskal dan moneter, subsidi harga untuk komoditas strategis, serta stabilisasi nilai tukar untuk mengurangi dampak harga barang impor terhadap IHK. Penelitian ini juga dapat menjadi dasar bagi penelitian lebih lanjut untuk mengidentifikasi faktor tambahan yang berkontribusi terhadap dinamika harga di Kota Medan, guna meningkatkan efektivitas strategi pengendalian inflasi yang diterapkan.</w:t>
      </w:r>
    </w:p>
    <w:p w14:paraId="580798A3" w14:textId="4F55EC8F" w:rsidR="00EB38FE" w:rsidRDefault="00E011FC" w:rsidP="00E011FC">
      <w:pPr>
        <w:pStyle w:val="BodyText"/>
        <w:ind w:left="450" w:right="26" w:firstLine="540"/>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Secara keseluruhan, penelitian ini menegaskan bahwa inflasi memiliki pengaruh positif dan signifikan terhadap IHK di Kota Medan, yang konsisten dengan berbagai penelitian sebelumnya. Hasil ini menyoroti pentingnya stabilitas makroekonomi dalam menjaga daya beli masyarakat dan pertumbuhan ekonomi yang berkelanjutan. Meskipun demikian, masih terdapat faktor-faktor lain yang turut berperan dalam menentukan IHK, sehingga penelitian lanjutan dengan pendekatan model yang lebih komprehensif sangat diperlukan untuk memperoleh gambaran yang lebih akurat mengenai faktor-faktor yang mempengaruhi harga konsumen di Kota Medan.</w:t>
      </w:r>
      <w:r w:rsidR="00EB38FE" w:rsidRPr="00EB38FE">
        <w:rPr>
          <w:rFonts w:ascii="Yu Gothic UI Semilight" w:eastAsia="Yu Gothic UI Semilight" w:hAnsi="Yu Gothic UI Semilight" w:cs="Times New Roman"/>
          <w:sz w:val="24"/>
          <w:szCs w:val="24"/>
          <w:lang w:val="id"/>
        </w:rPr>
        <w:t xml:space="preserve"> </w:t>
      </w:r>
    </w:p>
    <w:p w14:paraId="3BBA0D80" w14:textId="77777777" w:rsidR="0024757C" w:rsidRPr="00092448" w:rsidRDefault="0024757C" w:rsidP="00956E5D">
      <w:pPr>
        <w:pStyle w:val="BodyText"/>
        <w:ind w:right="26"/>
        <w:jc w:val="both"/>
        <w:rPr>
          <w:rFonts w:ascii="Yu Gothic UI Semilight" w:eastAsia="Yu Gothic UI Semilight" w:hAnsi="Yu Gothic UI Semilight" w:cs="Times New Roman"/>
          <w:sz w:val="24"/>
          <w:szCs w:val="24"/>
          <w:lang w:val="id-ID"/>
        </w:rPr>
      </w:pPr>
    </w:p>
    <w:p w14:paraId="7170FC9A" w14:textId="756BDAF1"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61FA9CC6" w14:textId="77777777" w:rsidR="00E011FC" w:rsidRPr="00E011FC" w:rsidRDefault="00E011FC" w:rsidP="00E011FC">
      <w:pPr>
        <w:pStyle w:val="BodyText"/>
        <w:ind w:left="450" w:right="206" w:firstLine="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Berdasarkan hasil analisis regresi, ditemukan bahwa inflasi memiliki pengaruh positif dan signifikan terhadap Indeks Harga Konsumen (IHK) di Kota Medan dengan nilai koefisien regresi sebesar 0.266410. Hasil uji t menunjukkan nilai t-statistik sebesar 4.5449 dengan p-value 0.0359, yang berarti inflasi secara statistik berpengaruh terhadap IHK pada tingkat signifikansi 5%. Selain itu, hasil uji F menunjukkan nilai F-statistik sebesar 5.2969 dengan probabilitas 0.0259, yang menunjukkan bahwa model regresi secara keseluruhan signifikan. Namun, nilai R-squared sebesar 39.49% menunjukkan bahwa masih terdapat faktor lain di luar model yang turut memengaruhi perubahan IHK di Kota Medan. Dengan demikian, meskipun inflasi menjadi faktor utama dalam pergerakan harga barang dan jasa, faktor-faktor lain seperti kebijakan fiskal, nilai tukar, dan dinamika ekonomi global juga berperan dalam menentukan fluktuasi IHK.</w:t>
      </w:r>
    </w:p>
    <w:p w14:paraId="665D55E2" w14:textId="77777777" w:rsidR="00E011FC" w:rsidRPr="00E011FC" w:rsidRDefault="00E011FC" w:rsidP="00E011FC">
      <w:pPr>
        <w:pStyle w:val="BodyText"/>
        <w:ind w:left="450" w:right="206" w:firstLine="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Implikasi dari temuan ini menunjukkan bahwa pengendalian inflasi harus menjadi prioritas dalam kebijakan ekonomi Kota Medan, mengingat dampaknya terhadap stabilitas harga dan daya beli masyarakat. Pemerintah daerah dapat bekerja sama dengan Bank Indonesia untuk mengimplementasikan kebijakan moneter yang lebih adaptif, seperti pengelolaan suku bunga dan intervensi pasar untuk menjaga stabilitas harga barang pokok. Selain itu, kebijakan fiskal seperti subsidi pada sektor pangan dan energi juga dapat menjadi langkah strategis untuk mengurangi tekanan inflasi yang berlebihan. Dalam jangka panjang, stabilitas inflasi yang terkendali akan mendukung pertumbuhan ekonomi yang lebih berkelanjutan dan kesejahteraan masyarakat.</w:t>
      </w:r>
    </w:p>
    <w:p w14:paraId="546A5054" w14:textId="25B4A5E8" w:rsidR="00EB38FE" w:rsidRPr="00EB38FE" w:rsidRDefault="00E011FC" w:rsidP="00E011FC">
      <w:pPr>
        <w:pStyle w:val="BodyText"/>
        <w:ind w:left="450" w:right="206" w:firstLine="543"/>
        <w:jc w:val="both"/>
        <w:rPr>
          <w:rFonts w:ascii="Yu Gothic UI Semilight" w:eastAsia="Yu Gothic UI Semilight" w:hAnsi="Yu Gothic UI Semilight" w:cs="Times New Roman"/>
          <w:sz w:val="24"/>
          <w:szCs w:val="24"/>
        </w:rPr>
      </w:pPr>
      <w:r w:rsidRPr="00E011FC">
        <w:rPr>
          <w:rFonts w:ascii="Yu Gothic UI Semilight" w:eastAsia="Yu Gothic UI Semilight" w:hAnsi="Yu Gothic UI Semilight" w:cs="Times New Roman"/>
          <w:sz w:val="24"/>
          <w:szCs w:val="24"/>
          <w:lang w:val="id"/>
        </w:rPr>
        <w:t>Penelitian selanjutnya disarankan untuk memasukkan variabel makroekonomi lain seperti suku bunga, nilai tukar, dan tingkat pengangguran untuk memahami lebih dalam faktor-faktor yang memengaruhi IHK. Selain itu, analisis dengan model ekonometrika yang lebih kompleks, seperti VAR (Vector Autoregression) atau ECM (Error Correction Model), dapat memberikan wawasan yang lebih mendalam mengenai hubungan jangka pendek dan jangka panjang antara inflasi dan IHK. Penelitian dengan cakupan wilayah yang lebih luas juga dapat memberikan perbandingan mengenai bagaimana dinamika inflasi dan IHK berkembang di berbagai kota di Indonesia.</w:t>
      </w:r>
    </w:p>
    <w:p w14:paraId="47EE5400" w14:textId="77777777" w:rsidR="00EB38FE" w:rsidRDefault="00EB38FE" w:rsidP="00EB38FE">
      <w:pPr>
        <w:pStyle w:val="BodyText"/>
        <w:ind w:left="450" w:right="206" w:firstLine="543"/>
        <w:jc w:val="both"/>
        <w:rPr>
          <w:rFonts w:ascii="Yu Gothic UI Semilight" w:eastAsia="Yu Gothic UI Semilight" w:hAnsi="Yu Gothic UI Semilight" w:cs="Times New Roman"/>
          <w:sz w:val="24"/>
          <w:szCs w:val="24"/>
          <w:lang w:val="id-ID"/>
        </w:rPr>
      </w:pPr>
    </w:p>
    <w:p w14:paraId="7203762B" w14:textId="77777777" w:rsidR="00E011FC" w:rsidRPr="00092448" w:rsidRDefault="00E011FC" w:rsidP="00EB38FE">
      <w:pPr>
        <w:pStyle w:val="BodyText"/>
        <w:ind w:left="450" w:right="206" w:firstLine="543"/>
        <w:jc w:val="both"/>
        <w:rPr>
          <w:rFonts w:ascii="Yu Gothic UI Semilight" w:eastAsia="Yu Gothic UI Semilight" w:hAnsi="Yu Gothic UI Semilight" w:cs="Times New Roman"/>
          <w:sz w:val="24"/>
          <w:szCs w:val="24"/>
          <w:lang w:val="id-ID"/>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4A60BE4B"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Abbass, K., Begum, H., Alam, A. F., Awang, A. H., Abdelsalam, M. K., Egdair, I. M. M., &amp; Wahid, R. (2022). Fresh insight through a Keynesian theory approach to investigate the economic impact of the COVID-19 pandemic in Pakistan. Sustainability, 14(3), 1054.</w:t>
      </w:r>
    </w:p>
    <w:p w14:paraId="7C712F37"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Ahmad, S., Maqbool, I., Raihan, A., &amp; Xin, L. (2024). Analyzing the dynamics of import demand function in Pakistan: Long-term and shortterm relationships with key economic factors. Asian Journal of Economics and Empirical Research, 11(2), 50-59.</w:t>
      </w:r>
    </w:p>
    <w:p w14:paraId="1D2D475F"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Arif, I. T. B., Wati, S., Gunanto, M., Ardiansyah, A., &amp; Malik, A. (2024). ANALISIS FAKTOR YANG MEMPENGARUHI INFLASI DI PROVINSI LAMPUNG PADA TAHUN 2021-2023. Jurnal Intelek Dan Cendikiawan Nusantara, 1(5), 8654-8662.</w:t>
      </w:r>
    </w:p>
    <w:p w14:paraId="6D17BAAF"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Aris, A. A., Judijanto, L., &amp; Hendra, M. (2024). TINJAUAN LITERATUR TENTANG SISTEM EKONOMI DAN DAMPAKNYA TERHADAP STABILITAS KEUANGAN: FOKUS PADA INFLASI DAN HUTANG. Ekasakti Jurnal Penelitian dan Pengabdian, 4(2), 652-659.</w:t>
      </w:r>
    </w:p>
    <w:p w14:paraId="4261CE19"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Braun, R., &amp; Lein, S. M. (2021). Sources of bias in inflation rates and implications for inflation dynamics. Journal of Money, Credit and Banking, 53(6), 1553-1572.</w:t>
      </w:r>
    </w:p>
    <w:p w14:paraId="3D2C7F1B"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Cavallo, A. (2024). Inflation with Covid consumption baskets. IMF Economic Review, 72(2), 902-917.</w:t>
      </w:r>
    </w:p>
    <w:p w14:paraId="6F150978"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Chandra, E. K., &amp; Wahyuningsih, D. (2021). Analisis Pengaruh Suku Bunga, Jumlah Uang Beredar Dan Nilai Tukar Terhadap Inflasi Di Indonesia Periode 2011-2019. Buletin Ekonomika Pembangunan, 2(1).</w:t>
      </w:r>
    </w:p>
    <w:p w14:paraId="1519388F"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Chevalier, J. A., &amp; Kashyap, A. K. (2019). Best prices: Price discrimination and consumer substitution. American Economic Journal: Economic Policy, 11(1), 126-159.</w:t>
      </w:r>
    </w:p>
    <w:p w14:paraId="039B7216"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Cui, Q., Rong, S., Zhang, F., &amp; Wang, X. (2024). Exploring and predicting China’s consumer price index with its influence factors via big data analysis. Journal of Intelligent &amp; Fuzzy Systems, 46(1), 891-901.</w:t>
      </w:r>
    </w:p>
    <w:p w14:paraId="7D7468F1"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Darma, D. C., Pusriadi, T., &amp; Hakim, Y. P. (2018, October). Dampak kenaikan harga komoditas sembako terhadap tingkat inflasi di Indonesia. In Seminar Nasional Dan Call for Paper: Manajemen, Akuntansi Dan Perbankkan (pp. 1048-1074).</w:t>
      </w:r>
    </w:p>
    <w:p w14:paraId="75EAD32B"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Desfitra, M. S., Aulia, Z., Utami, R. P., &amp; Fitriana, N. (2024). Pengaruh Inflasi Terhadap Pertumbuhan Ekonomi Di Indonesia. Jurnal Ekonomi Dan Bisnis Digital, 2(1), 482-488.</w:t>
      </w:r>
    </w:p>
    <w:p w14:paraId="4CB40EEF"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Doan Van, D. (2020). Money supply and inflation impact on economic growth. Journal of Financial Economic Policy, 12(1), 121-136.</w:t>
      </w:r>
    </w:p>
    <w:p w14:paraId="32ADB979"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Jumiati, E. (2022). Kebijakan Moneter Sebagai Pengendali Inflasi Dan Nilai Tukar (Peran Bank Sentral). Azmina: Jurnal Perbankan Syariah, 2(1), 1-14.</w:t>
      </w:r>
    </w:p>
    <w:p w14:paraId="4DB117D8"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Karlina, B. (2017). Pengaruh tingkat inflasi, indeks harga konsumen terhadap PDB di Indonesia pada tahun 2011-2015. Jurnal Ekonomika Dan Manajemen, 6(1), 16-27.</w:t>
      </w:r>
    </w:p>
    <w:p w14:paraId="1DEC9ED9"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Khan, N., &amp; Naushad, M. (2020). Inflation relationship with the economic growth of the world economy. Available at SSRN 3542729.</w:t>
      </w:r>
    </w:p>
    <w:p w14:paraId="1996BB75"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Maharani, N., &amp; Riofita, H. (2024). ANALISIS KEBIJAKAN MONETER TERHADAP INFLASI DI INDONESIA. Jurnal Studi Multidisipliner, 8(6).</w:t>
      </w:r>
    </w:p>
    <w:p w14:paraId="46A23C10"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Meiditambua, M. H., Centauri, S. A., &amp; Fahlevi, M. R. (2023). Pengaruh inflasi terhadap pertumbuhan ekonomi: perspektif Indonesia. Jurnal Acitya Ardana, 3(1), 17-26.</w:t>
      </w:r>
    </w:p>
    <w:p w14:paraId="58E7135E"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Muhammad, A. A. (2023). Examining the relationship among unemployment, inflation, and economic growth. Journal of Business and Economic Options, 6(2), 23-31.</w:t>
      </w:r>
    </w:p>
    <w:p w14:paraId="33DEEA05"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Mujasmara, F. D., Panggabean, R. T. T., Muliana, R. S., Nugrahadi, E. W., &amp; Rinaldi, M. (2023). Peran kebijakan fiskal terhadap perekonomian di Indonesia. Innovative: Journal Of Social Science Research, 3(6), 2986-2997.</w:t>
      </w:r>
    </w:p>
    <w:p w14:paraId="09C498BD"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Nawatmi, S. (2021). Indeks Harga Konsumen. Bonus Demografi sebagai Peluang Indonesia dalam Percepatan Pembangunan Ekonomi, 1, 344.</w:t>
      </w:r>
    </w:p>
    <w:p w14:paraId="562432BF"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Oktavia, M. H. (2025). ANALISIS PENGELUARAN PEMERINTAH DAN TINGKAT SUKU BUNGA TERHADAP INFLASI DI ASIA TAHUN 2018-2023.</w:t>
      </w:r>
    </w:p>
    <w:p w14:paraId="45BBAA0B"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Olusola, B. E., Chimezie, M. E., Shuuya, S. M., &amp; Addeh, G. Y. A. (2022). The impact of inflation rate on Private consumption expenditure and economic growth—evidence from Ghana. Open Journal of Business and Management, 10(4), 1601-1646.</w:t>
      </w:r>
    </w:p>
    <w:p w14:paraId="4B774DF9"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Prifti, E., Daidone, S., &amp; Miguelez, B. (2017). Impact of increases in food prices on consumer welfare in Lesotho. African Journal of Agricultural and Resource Economics, 12(1), 52-61.</w:t>
      </w:r>
    </w:p>
    <w:p w14:paraId="3AF72B77"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Ramadhani, N., Oktaviany, A. S., &amp; Utama, M. A. S. (2024). Peran pemerintah menstabilkan inflasi dengan kebijakan moneter dalam perspektif ekonomi Islam. Jurnal sosial dan sains, 4(2), 186-195.</w:t>
      </w:r>
    </w:p>
    <w:p w14:paraId="374B3E30"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Rangkuty, D. M., Sajar, S., Yazid, A., &amp; Satria, W. (2024). Teori Inflasi dan Pendapatan. Penerbit Tahta Media.</w:t>
      </w:r>
    </w:p>
    <w:p w14:paraId="5C9D75A0"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Romadhan, R. A., Serli, S., Aghliyah, S. P., Oktanti, R. A., &amp; Putra, T. R. (2024). Pemikiran Al-Maqrizi dan Keynesian Tentang Teori Pebandingan Inflasi Dalam Perspektif Islam dan Konvensional. Buletin Ekonomika Pembangunan, 5(2).</w:t>
      </w:r>
    </w:p>
    <w:p w14:paraId="1FB67230"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Rozeqqi, I., &amp; Asriati, N. (2024). Peran Bank Sentral Dalam Mengendalikan Inflasi: Pengalaman Negara Maju Dan Berkembang. Juremi: Jurnal Riset Ekonomi, 4(2), 571-582.</w:t>
      </w:r>
    </w:p>
    <w:p w14:paraId="354766F7"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Safii, A., Muhdar, H. M., &amp; Mardiana, A. (2024). KEBIJAKAN MONETER DAN PENGARUHNYA TERHADAP SUKU BUNGA KREDIT KONSUMEN DI INDONESIA. MUTAWAZIN (Jurnal Ekonomi Syariah), 5(2), 111-120.</w:t>
      </w:r>
    </w:p>
    <w:p w14:paraId="0F45EF2B"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Said, A., &amp; Awaluddin, A. (2022). Pengendalian Inflasi, Moneter dan Fiskal dalam Perspektif Ekonomi Makro Islam. MAGISTER RESEARCH, 1(2), 11-22.</w:t>
      </w:r>
    </w:p>
    <w:p w14:paraId="08F50B82"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Saparuddin, M. (2017). Pengaruh penerimaan pajak hiburan dan inflasi terhadap pendapatan asli daerah (pad)(studi kasus pada badan pengelolaan pajak dan retribusi daerah kota Medan) (Doctoral dissertation, Universitas Islam Negeri Sumatera Utara).</w:t>
      </w:r>
    </w:p>
    <w:p w14:paraId="3BC72742"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Silalahi, E., &amp; Sihombing, R. (2021). Pengaruh Faktor Makro Ekonomi Terhadap Pergerakan Indeks Harga Saham Gabungan (Ihsg) Di Bursa Efek Indonesia Periode 2017-2020. Jurnal Riset Akuntansi &amp; Keuangan, 139-152.</w:t>
      </w:r>
    </w:p>
    <w:p w14:paraId="6239EF2F"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Sugiyono. (2021). Metode Penelitian Kuantitatif, Kualitatif dan R&amp;D. Bandung: Alfabeta.</w:t>
      </w:r>
    </w:p>
    <w:p w14:paraId="6399C09A"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Utami, A. (2019). Determinan Jumlah Uang Beredar, Tingkat Bunga, dan Inflasi terhadap Pertumbuhan Ekonomi Indonesia. Al-Buhuts, 15(2), 45-64.</w:t>
      </w:r>
    </w:p>
    <w:p w14:paraId="1C7ECEAE"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Wahyudi, S. K., &amp; Riana, A. (2024). Analisis Faktor-Faktor yang Mempengaruhi Inflasi di Indonesia. Jurnal Mirai Management, 9(3), 393-409.</w:t>
      </w:r>
    </w:p>
    <w:p w14:paraId="47CBB0EB" w14:textId="77777777" w:rsidR="00E011FC" w:rsidRPr="00E011FC" w:rsidRDefault="00E011FC" w:rsidP="00E011FC">
      <w:pPr>
        <w:spacing w:after="0" w:line="240" w:lineRule="auto"/>
        <w:ind w:left="993" w:right="206" w:hanging="543"/>
        <w:jc w:val="both"/>
        <w:rPr>
          <w:rFonts w:ascii="Yu Gothic UI Semilight" w:eastAsia="Yu Gothic UI Semilight" w:hAnsi="Yu Gothic UI Semilight" w:cs="Times New Roman"/>
          <w:sz w:val="24"/>
          <w:szCs w:val="24"/>
          <w:lang w:val="id"/>
        </w:rPr>
      </w:pPr>
      <w:r w:rsidRPr="00E011FC">
        <w:rPr>
          <w:rFonts w:ascii="Yu Gothic UI Semilight" w:eastAsia="Yu Gothic UI Semilight" w:hAnsi="Yu Gothic UI Semilight" w:cs="Times New Roman"/>
          <w:sz w:val="24"/>
          <w:szCs w:val="24"/>
          <w:lang w:val="id"/>
        </w:rPr>
        <w:t>Wossen, T., Berger, T., Haile, M. G., &amp; Troost, C. (2018). Impacts of climate variability and food price volatility on household income and food security of farm households in East and West Africa. Agricultural systems, 163, 7-15.</w:t>
      </w:r>
    </w:p>
    <w:p w14:paraId="78A6E6F1" w14:textId="77777777" w:rsidR="004D087F" w:rsidRPr="00240913" w:rsidRDefault="004D087F" w:rsidP="00240913">
      <w:pPr>
        <w:spacing w:after="0" w:line="240" w:lineRule="auto"/>
        <w:ind w:left="993" w:right="206" w:hanging="543"/>
        <w:jc w:val="both"/>
        <w:rPr>
          <w:rFonts w:ascii="Yu Gothic UI Semilight" w:eastAsia="Yu Gothic UI Semilight" w:hAnsi="Yu Gothic UI Semilight" w:cs="Times New Roman"/>
          <w:sz w:val="24"/>
          <w:szCs w:val="24"/>
          <w:lang w:val="id"/>
        </w:rPr>
      </w:pPr>
    </w:p>
    <w:sectPr w:rsidR="004D087F" w:rsidRPr="00240913" w:rsidSect="00282D05">
      <w:footerReference w:type="default" r:id="rId15"/>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C98D" w14:textId="77777777" w:rsidR="004E5BC4" w:rsidRDefault="004E5BC4" w:rsidP="008D088C">
      <w:pPr>
        <w:spacing w:after="0" w:line="240" w:lineRule="auto"/>
      </w:pPr>
      <w:r>
        <w:separator/>
      </w:r>
    </w:p>
  </w:endnote>
  <w:endnote w:type="continuationSeparator" w:id="0">
    <w:p w14:paraId="020E79D1" w14:textId="77777777" w:rsidR="004E5BC4" w:rsidRDefault="004E5BC4"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241B6936"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82309A">
      <w:rPr>
        <w:rFonts w:ascii="Yu Gothic UI Semilight" w:eastAsia="Yu Gothic UI Semilight" w:hAnsi="Yu Gothic UI Semilight" w:cs="Times New Roman"/>
        <w:bCs/>
        <w:lang w:val="id-ID"/>
      </w:rPr>
      <w:t>Saut Martua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12B6" w14:textId="77777777" w:rsidR="004E5BC4" w:rsidRDefault="004E5BC4" w:rsidP="008D088C">
      <w:pPr>
        <w:spacing w:after="0" w:line="240" w:lineRule="auto"/>
      </w:pPr>
      <w:r>
        <w:separator/>
      </w:r>
    </w:p>
  </w:footnote>
  <w:footnote w:type="continuationSeparator" w:id="0">
    <w:p w14:paraId="2F66DE0C" w14:textId="77777777" w:rsidR="004E5BC4" w:rsidRDefault="004E5BC4"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8A65350"/>
    <w:multiLevelType w:val="hybridMultilevel"/>
    <w:tmpl w:val="6720D014"/>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 w15:restartNumberingAfterBreak="0">
    <w:nsid w:val="19464E41"/>
    <w:multiLevelType w:val="hybridMultilevel"/>
    <w:tmpl w:val="DEA88F52"/>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 w15:restartNumberingAfterBreak="0">
    <w:nsid w:val="1A380651"/>
    <w:multiLevelType w:val="hybridMultilevel"/>
    <w:tmpl w:val="5F803298"/>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 w15:restartNumberingAfterBreak="0">
    <w:nsid w:val="33F86071"/>
    <w:multiLevelType w:val="hybridMultilevel"/>
    <w:tmpl w:val="2E3C1550"/>
    <w:lvl w:ilvl="0" w:tplc="AB242A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F352B"/>
    <w:multiLevelType w:val="hybridMultilevel"/>
    <w:tmpl w:val="49FC98B4"/>
    <w:lvl w:ilvl="0" w:tplc="AA82B934">
      <w:start w:val="1"/>
      <w:numFmt w:val="lowerLetter"/>
      <w:lvlText w:val="%1."/>
      <w:lvlJc w:val="left"/>
      <w:pPr>
        <w:ind w:left="788" w:hanging="360"/>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6" w15:restartNumberingAfterBreak="0">
    <w:nsid w:val="4BA659B3"/>
    <w:multiLevelType w:val="hybridMultilevel"/>
    <w:tmpl w:val="0A5A8B2C"/>
    <w:lvl w:ilvl="0" w:tplc="795E9C7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097638"/>
    <w:multiLevelType w:val="hybridMultilevel"/>
    <w:tmpl w:val="3F46C796"/>
    <w:lvl w:ilvl="0" w:tplc="38090019">
      <w:start w:val="1"/>
      <w:numFmt w:val="lowerLetter"/>
      <w:lvlText w:val="%1."/>
      <w:lvlJc w:val="left"/>
      <w:pPr>
        <w:ind w:left="860" w:hanging="360"/>
      </w:pPr>
    </w:lvl>
    <w:lvl w:ilvl="1" w:tplc="38090019" w:tentative="1">
      <w:start w:val="1"/>
      <w:numFmt w:val="lowerLetter"/>
      <w:lvlText w:val="%2."/>
      <w:lvlJc w:val="left"/>
      <w:pPr>
        <w:ind w:left="1580" w:hanging="360"/>
      </w:pPr>
    </w:lvl>
    <w:lvl w:ilvl="2" w:tplc="3809001B" w:tentative="1">
      <w:start w:val="1"/>
      <w:numFmt w:val="lowerRoman"/>
      <w:lvlText w:val="%3."/>
      <w:lvlJc w:val="right"/>
      <w:pPr>
        <w:ind w:left="2300" w:hanging="180"/>
      </w:pPr>
    </w:lvl>
    <w:lvl w:ilvl="3" w:tplc="3809000F" w:tentative="1">
      <w:start w:val="1"/>
      <w:numFmt w:val="decimal"/>
      <w:lvlText w:val="%4."/>
      <w:lvlJc w:val="left"/>
      <w:pPr>
        <w:ind w:left="3020" w:hanging="360"/>
      </w:pPr>
    </w:lvl>
    <w:lvl w:ilvl="4" w:tplc="38090019" w:tentative="1">
      <w:start w:val="1"/>
      <w:numFmt w:val="lowerLetter"/>
      <w:lvlText w:val="%5."/>
      <w:lvlJc w:val="left"/>
      <w:pPr>
        <w:ind w:left="3740" w:hanging="360"/>
      </w:pPr>
    </w:lvl>
    <w:lvl w:ilvl="5" w:tplc="3809001B" w:tentative="1">
      <w:start w:val="1"/>
      <w:numFmt w:val="lowerRoman"/>
      <w:lvlText w:val="%6."/>
      <w:lvlJc w:val="right"/>
      <w:pPr>
        <w:ind w:left="4460" w:hanging="180"/>
      </w:pPr>
    </w:lvl>
    <w:lvl w:ilvl="6" w:tplc="3809000F" w:tentative="1">
      <w:start w:val="1"/>
      <w:numFmt w:val="decimal"/>
      <w:lvlText w:val="%7."/>
      <w:lvlJc w:val="left"/>
      <w:pPr>
        <w:ind w:left="5180" w:hanging="360"/>
      </w:pPr>
    </w:lvl>
    <w:lvl w:ilvl="7" w:tplc="38090019" w:tentative="1">
      <w:start w:val="1"/>
      <w:numFmt w:val="lowerLetter"/>
      <w:lvlText w:val="%8."/>
      <w:lvlJc w:val="left"/>
      <w:pPr>
        <w:ind w:left="5900" w:hanging="360"/>
      </w:pPr>
    </w:lvl>
    <w:lvl w:ilvl="8" w:tplc="3809001B" w:tentative="1">
      <w:start w:val="1"/>
      <w:numFmt w:val="lowerRoman"/>
      <w:lvlText w:val="%9."/>
      <w:lvlJc w:val="right"/>
      <w:pPr>
        <w:ind w:left="6620" w:hanging="180"/>
      </w:pPr>
    </w:lvl>
  </w:abstractNum>
  <w:abstractNum w:abstractNumId="8" w15:restartNumberingAfterBreak="0">
    <w:nsid w:val="6A0355AA"/>
    <w:multiLevelType w:val="hybridMultilevel"/>
    <w:tmpl w:val="3F46C796"/>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9" w15:restartNumberingAfterBreak="0">
    <w:nsid w:val="755F0A44"/>
    <w:multiLevelType w:val="hybridMultilevel"/>
    <w:tmpl w:val="34AC3D12"/>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num w:numId="1" w16cid:durableId="410196173">
    <w:abstractNumId w:val="0"/>
  </w:num>
  <w:num w:numId="2" w16cid:durableId="549732910">
    <w:abstractNumId w:val="5"/>
  </w:num>
  <w:num w:numId="3" w16cid:durableId="319887799">
    <w:abstractNumId w:val="7"/>
  </w:num>
  <w:num w:numId="4" w16cid:durableId="839583826">
    <w:abstractNumId w:val="8"/>
  </w:num>
  <w:num w:numId="5" w16cid:durableId="1532574159">
    <w:abstractNumId w:val="9"/>
  </w:num>
  <w:num w:numId="6" w16cid:durableId="604921069">
    <w:abstractNumId w:val="4"/>
  </w:num>
  <w:num w:numId="7" w16cid:durableId="543903765">
    <w:abstractNumId w:val="2"/>
  </w:num>
  <w:num w:numId="8" w16cid:durableId="563024033">
    <w:abstractNumId w:val="1"/>
  </w:num>
  <w:num w:numId="9" w16cid:durableId="1110858125">
    <w:abstractNumId w:val="3"/>
  </w:num>
  <w:num w:numId="10" w16cid:durableId="901253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0065A"/>
    <w:rsid w:val="00041B94"/>
    <w:rsid w:val="000502F5"/>
    <w:rsid w:val="00055E96"/>
    <w:rsid w:val="00092448"/>
    <w:rsid w:val="000A1FBE"/>
    <w:rsid w:val="000C545D"/>
    <w:rsid w:val="000C7290"/>
    <w:rsid w:val="000E0EE1"/>
    <w:rsid w:val="000E1E54"/>
    <w:rsid w:val="000E3C90"/>
    <w:rsid w:val="000E5BCF"/>
    <w:rsid w:val="000E6C5A"/>
    <w:rsid w:val="00141129"/>
    <w:rsid w:val="00163954"/>
    <w:rsid w:val="00167FA8"/>
    <w:rsid w:val="00186AFC"/>
    <w:rsid w:val="00197BBD"/>
    <w:rsid w:val="001A23A2"/>
    <w:rsid w:val="001D216E"/>
    <w:rsid w:val="001D3E48"/>
    <w:rsid w:val="001F2661"/>
    <w:rsid w:val="001F46C7"/>
    <w:rsid w:val="002057A5"/>
    <w:rsid w:val="00210B3B"/>
    <w:rsid w:val="00224E07"/>
    <w:rsid w:val="002336AC"/>
    <w:rsid w:val="00240913"/>
    <w:rsid w:val="00246BA5"/>
    <w:rsid w:val="0024757C"/>
    <w:rsid w:val="00270AB2"/>
    <w:rsid w:val="002751F0"/>
    <w:rsid w:val="00277E4A"/>
    <w:rsid w:val="00282D05"/>
    <w:rsid w:val="00286FB6"/>
    <w:rsid w:val="00296020"/>
    <w:rsid w:val="002B2E87"/>
    <w:rsid w:val="002B5E3A"/>
    <w:rsid w:val="002C0ACA"/>
    <w:rsid w:val="00301E8D"/>
    <w:rsid w:val="003340F8"/>
    <w:rsid w:val="003517F1"/>
    <w:rsid w:val="00366A37"/>
    <w:rsid w:val="00370D4D"/>
    <w:rsid w:val="00383A3D"/>
    <w:rsid w:val="003917EA"/>
    <w:rsid w:val="003B336E"/>
    <w:rsid w:val="003C0196"/>
    <w:rsid w:val="003D5020"/>
    <w:rsid w:val="00411A0F"/>
    <w:rsid w:val="004245A0"/>
    <w:rsid w:val="00451033"/>
    <w:rsid w:val="004560B7"/>
    <w:rsid w:val="00462A0D"/>
    <w:rsid w:val="00466985"/>
    <w:rsid w:val="00466FBA"/>
    <w:rsid w:val="00467284"/>
    <w:rsid w:val="00480B59"/>
    <w:rsid w:val="00481275"/>
    <w:rsid w:val="004A0072"/>
    <w:rsid w:val="004D087F"/>
    <w:rsid w:val="004E5BC4"/>
    <w:rsid w:val="004F06AC"/>
    <w:rsid w:val="004F320C"/>
    <w:rsid w:val="00505DF9"/>
    <w:rsid w:val="005145CD"/>
    <w:rsid w:val="0053589B"/>
    <w:rsid w:val="00537186"/>
    <w:rsid w:val="00555E3C"/>
    <w:rsid w:val="00580CEC"/>
    <w:rsid w:val="005860CD"/>
    <w:rsid w:val="005C2B69"/>
    <w:rsid w:val="005F03C4"/>
    <w:rsid w:val="00602AD9"/>
    <w:rsid w:val="00614D19"/>
    <w:rsid w:val="00623732"/>
    <w:rsid w:val="00672225"/>
    <w:rsid w:val="00692F32"/>
    <w:rsid w:val="006F593F"/>
    <w:rsid w:val="007067AE"/>
    <w:rsid w:val="00714B64"/>
    <w:rsid w:val="00732122"/>
    <w:rsid w:val="00734FB0"/>
    <w:rsid w:val="00735C99"/>
    <w:rsid w:val="00745296"/>
    <w:rsid w:val="00750EBA"/>
    <w:rsid w:val="00780683"/>
    <w:rsid w:val="007A00A0"/>
    <w:rsid w:val="007B5240"/>
    <w:rsid w:val="007D353E"/>
    <w:rsid w:val="00803232"/>
    <w:rsid w:val="008121AA"/>
    <w:rsid w:val="0082309A"/>
    <w:rsid w:val="00833981"/>
    <w:rsid w:val="008A4E6F"/>
    <w:rsid w:val="008D088C"/>
    <w:rsid w:val="00902E32"/>
    <w:rsid w:val="009144DA"/>
    <w:rsid w:val="0095136F"/>
    <w:rsid w:val="00956E5D"/>
    <w:rsid w:val="00957B7E"/>
    <w:rsid w:val="009A2608"/>
    <w:rsid w:val="009A77F4"/>
    <w:rsid w:val="009D4E33"/>
    <w:rsid w:val="009F2566"/>
    <w:rsid w:val="009F542C"/>
    <w:rsid w:val="00A11C58"/>
    <w:rsid w:val="00A27F26"/>
    <w:rsid w:val="00A637AB"/>
    <w:rsid w:val="00A66554"/>
    <w:rsid w:val="00AC1996"/>
    <w:rsid w:val="00AC3BE2"/>
    <w:rsid w:val="00AC5C17"/>
    <w:rsid w:val="00B0385F"/>
    <w:rsid w:val="00B13D13"/>
    <w:rsid w:val="00B1402A"/>
    <w:rsid w:val="00B15098"/>
    <w:rsid w:val="00B349FA"/>
    <w:rsid w:val="00B64100"/>
    <w:rsid w:val="00B64336"/>
    <w:rsid w:val="00B754E2"/>
    <w:rsid w:val="00B77F2C"/>
    <w:rsid w:val="00BA26C0"/>
    <w:rsid w:val="00BA2B16"/>
    <w:rsid w:val="00BC1A0C"/>
    <w:rsid w:val="00BC4473"/>
    <w:rsid w:val="00BD6A33"/>
    <w:rsid w:val="00C2450A"/>
    <w:rsid w:val="00C27173"/>
    <w:rsid w:val="00C31A39"/>
    <w:rsid w:val="00C35C2D"/>
    <w:rsid w:val="00C75030"/>
    <w:rsid w:val="00C83C71"/>
    <w:rsid w:val="00CA6D95"/>
    <w:rsid w:val="00CB1186"/>
    <w:rsid w:val="00CB7449"/>
    <w:rsid w:val="00CB7515"/>
    <w:rsid w:val="00CE349B"/>
    <w:rsid w:val="00CF4230"/>
    <w:rsid w:val="00CF470D"/>
    <w:rsid w:val="00D0156F"/>
    <w:rsid w:val="00D22656"/>
    <w:rsid w:val="00D454D7"/>
    <w:rsid w:val="00D71287"/>
    <w:rsid w:val="00D7736D"/>
    <w:rsid w:val="00DA6343"/>
    <w:rsid w:val="00DA7A4E"/>
    <w:rsid w:val="00DB2128"/>
    <w:rsid w:val="00DD3E66"/>
    <w:rsid w:val="00DD4B74"/>
    <w:rsid w:val="00DF30B2"/>
    <w:rsid w:val="00DF7C37"/>
    <w:rsid w:val="00E011FC"/>
    <w:rsid w:val="00E05EE9"/>
    <w:rsid w:val="00E14E14"/>
    <w:rsid w:val="00E25AEC"/>
    <w:rsid w:val="00E34D9D"/>
    <w:rsid w:val="00E46E5A"/>
    <w:rsid w:val="00E60D06"/>
    <w:rsid w:val="00E76142"/>
    <w:rsid w:val="00E8388D"/>
    <w:rsid w:val="00E91934"/>
    <w:rsid w:val="00E94CD0"/>
    <w:rsid w:val="00EB38FE"/>
    <w:rsid w:val="00ED7F0D"/>
    <w:rsid w:val="00EF16C0"/>
    <w:rsid w:val="00F0137B"/>
    <w:rsid w:val="00F23142"/>
    <w:rsid w:val="00F34F54"/>
    <w:rsid w:val="00F353D5"/>
    <w:rsid w:val="00F42AAB"/>
    <w:rsid w:val="00F43CF8"/>
    <w:rsid w:val="00F75C62"/>
    <w:rsid w:val="00F76A77"/>
    <w:rsid w:val="00F82F2D"/>
    <w:rsid w:val="00F87FA8"/>
    <w:rsid w:val="00FB7556"/>
    <w:rsid w:val="00FD73EF"/>
    <w:rsid w:val="00FF05A1"/>
    <w:rsid w:val="00FF224A"/>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379D2223-780D-4C79-A63C-A13DFAFE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87"/>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34"/>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3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styleId="UnresolvedMention">
    <w:name w:val="Unresolved Mention"/>
    <w:basedOn w:val="DefaultParagraphFont"/>
    <w:uiPriority w:val="99"/>
    <w:semiHidden/>
    <w:unhideWhenUsed/>
    <w:rsid w:val="00CB7515"/>
    <w:rPr>
      <w:color w:val="605E5C"/>
      <w:shd w:val="clear" w:color="auto" w:fill="E1DFDD"/>
    </w:rPr>
  </w:style>
  <w:style w:type="paragraph" w:styleId="Bibliography">
    <w:name w:val="Bibliography"/>
    <w:basedOn w:val="Normal"/>
    <w:next w:val="Normal"/>
    <w:uiPriority w:val="37"/>
    <w:semiHidden/>
    <w:unhideWhenUsed/>
    <w:rsid w:val="00780683"/>
    <w:pPr>
      <w:widowControl w:val="0"/>
      <w:autoSpaceDE w:val="0"/>
      <w:autoSpaceDN w:val="0"/>
      <w:spacing w:after="0" w:line="240" w:lineRule="auto"/>
    </w:pPr>
    <w:rPr>
      <w:rFonts w:ascii="Yu Gothic UI Semilight" w:eastAsia="Yu Gothic UI Semilight" w:hAnsi="Yu Gothic UI Semilight" w:cs="Yu Gothic UI Semilight"/>
      <w:lang w:val="id-ID"/>
    </w:rPr>
  </w:style>
  <w:style w:type="table" w:styleId="ListTable2">
    <w:name w:val="List Table 2"/>
    <w:basedOn w:val="TableNormal"/>
    <w:uiPriority w:val="47"/>
    <w:rsid w:val="007806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537186"/>
    <w:rPr>
      <w:sz w:val="16"/>
      <w:szCs w:val="16"/>
    </w:rPr>
  </w:style>
  <w:style w:type="paragraph" w:styleId="CommentText">
    <w:name w:val="annotation text"/>
    <w:basedOn w:val="Normal"/>
    <w:link w:val="CommentTextChar"/>
    <w:uiPriority w:val="99"/>
    <w:semiHidden/>
    <w:unhideWhenUsed/>
    <w:rsid w:val="00537186"/>
    <w:pPr>
      <w:spacing w:line="240" w:lineRule="auto"/>
    </w:pPr>
    <w:rPr>
      <w:sz w:val="20"/>
      <w:szCs w:val="20"/>
    </w:rPr>
  </w:style>
  <w:style w:type="character" w:customStyle="1" w:styleId="CommentTextChar">
    <w:name w:val="Comment Text Char"/>
    <w:basedOn w:val="DefaultParagraphFont"/>
    <w:link w:val="CommentText"/>
    <w:uiPriority w:val="99"/>
    <w:semiHidden/>
    <w:rsid w:val="00537186"/>
    <w:rPr>
      <w:sz w:val="20"/>
      <w:szCs w:val="20"/>
    </w:rPr>
  </w:style>
  <w:style w:type="paragraph" w:styleId="CommentSubject">
    <w:name w:val="annotation subject"/>
    <w:basedOn w:val="CommentText"/>
    <w:next w:val="CommentText"/>
    <w:link w:val="CommentSubjectChar"/>
    <w:uiPriority w:val="99"/>
    <w:semiHidden/>
    <w:unhideWhenUsed/>
    <w:rsid w:val="00537186"/>
    <w:rPr>
      <w:b/>
      <w:bCs/>
    </w:rPr>
  </w:style>
  <w:style w:type="character" w:customStyle="1" w:styleId="CommentSubjectChar">
    <w:name w:val="Comment Subject Char"/>
    <w:basedOn w:val="CommentTextChar"/>
    <w:link w:val="CommentSubject"/>
    <w:uiPriority w:val="99"/>
    <w:semiHidden/>
    <w:rsid w:val="00537186"/>
    <w:rPr>
      <w:b/>
      <w:bCs/>
      <w:sz w:val="20"/>
      <w:szCs w:val="20"/>
    </w:rPr>
  </w:style>
  <w:style w:type="paragraph" w:styleId="Title">
    <w:name w:val="Title"/>
    <w:basedOn w:val="Normal"/>
    <w:next w:val="Normal"/>
    <w:link w:val="TitleChar"/>
    <w:uiPriority w:val="10"/>
    <w:qFormat/>
    <w:rsid w:val="008339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81"/>
    <w:rPr>
      <w:rFonts w:asciiTheme="majorHAnsi" w:eastAsiaTheme="majorEastAsia" w:hAnsiTheme="majorHAnsi" w:cstheme="majorBidi"/>
      <w:spacing w:val="-10"/>
      <w:kern w:val="28"/>
      <w:sz w:val="56"/>
      <w:szCs w:val="56"/>
    </w:rPr>
  </w:style>
  <w:style w:type="table" w:customStyle="1" w:styleId="Jurnal">
    <w:name w:val="Jurnal"/>
    <w:basedOn w:val="TableNormal"/>
    <w:uiPriority w:val="99"/>
    <w:rsid w:val="004D087F"/>
    <w:pPr>
      <w:spacing w:after="0" w:line="240" w:lineRule="auto"/>
      <w:jc w:val="center"/>
    </w:pPr>
    <w:rPr>
      <w:rFonts w:ascii="Yu Gothic UI Semilight" w:hAnsi="Yu Gothic UI Semilight"/>
    </w:rPr>
    <w:tblPr>
      <w:tblBorders>
        <w:top w:val="single" w:sz="4" w:space="0" w:color="7F7F7F" w:themeColor="text1" w:themeTint="80"/>
        <w:bottom w:val="single" w:sz="4" w:space="0" w:color="7F7F7F" w:themeColor="text1" w:themeTint="80"/>
        <w:insideH w:val="single" w:sz="4" w:space="0" w:color="7F7F7F" w:themeColor="text1" w:themeTint="80"/>
      </w:tblBorders>
    </w:tblPr>
    <w:tcPr>
      <w:vAlign w:val="center"/>
    </w:tcPr>
    <w:tblStylePr w:type="firstRow">
      <w:rPr>
        <w:rFonts w:ascii="Yu Gothic UI Semilight" w:hAnsi="Yu Gothic UI Semilight"/>
        <w:b/>
        <w:color w:val="au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'[IHK Medan.xlsx]Sheet1'!$E$1</c:f>
              <c:strCache>
                <c:ptCount val="1"/>
                <c:pt idx="0">
                  <c:v>IHK</c:v>
                </c:pt>
              </c:strCache>
            </c:strRef>
          </c:tx>
          <c:spPr>
            <a:ln w="28575" cap="rnd">
              <a:solidFill>
                <a:schemeClr val="accent1"/>
              </a:solidFill>
              <a:round/>
            </a:ln>
            <a:effectLst/>
          </c:spPr>
          <c:marker>
            <c:symbol val="none"/>
          </c:marker>
          <c:cat>
            <c:strRef>
              <c:f>'[IHK Medan.xlsx]Sheet1'!$D$2:$D$34</c:f>
              <c:strCache>
                <c:ptCount val="33"/>
                <c:pt idx="0">
                  <c:v>Januari 2022</c:v>
                </c:pt>
                <c:pt idx="1">
                  <c:v>Februari 2022</c:v>
                </c:pt>
                <c:pt idx="2">
                  <c:v>Maret 2022</c:v>
                </c:pt>
                <c:pt idx="3">
                  <c:v>April 2022</c:v>
                </c:pt>
                <c:pt idx="4">
                  <c:v>Mei 2022</c:v>
                </c:pt>
                <c:pt idx="5">
                  <c:v>Juni 2022</c:v>
                </c:pt>
                <c:pt idx="6">
                  <c:v>Juli 2022</c:v>
                </c:pt>
                <c:pt idx="7">
                  <c:v>Agustus 2022</c:v>
                </c:pt>
                <c:pt idx="8">
                  <c:v>September 2022</c:v>
                </c:pt>
                <c:pt idx="9">
                  <c:v>Oktober 2022</c:v>
                </c:pt>
                <c:pt idx="10">
                  <c:v>November 2022</c:v>
                </c:pt>
                <c:pt idx="11">
                  <c:v>Desember 2022</c:v>
                </c:pt>
                <c:pt idx="12">
                  <c:v>Januari 2023</c:v>
                </c:pt>
                <c:pt idx="13">
                  <c:v>Februari 2023</c:v>
                </c:pt>
                <c:pt idx="14">
                  <c:v>Maret 2023</c:v>
                </c:pt>
                <c:pt idx="15">
                  <c:v>April 2023</c:v>
                </c:pt>
                <c:pt idx="16">
                  <c:v>Mei 2023</c:v>
                </c:pt>
                <c:pt idx="17">
                  <c:v>Juni 2023</c:v>
                </c:pt>
                <c:pt idx="18">
                  <c:v>Juli 2023</c:v>
                </c:pt>
                <c:pt idx="19">
                  <c:v>Agustus 2023</c:v>
                </c:pt>
                <c:pt idx="20">
                  <c:v>September 2023</c:v>
                </c:pt>
                <c:pt idx="21">
                  <c:v>Oktober 2023</c:v>
                </c:pt>
                <c:pt idx="22">
                  <c:v>November 2023</c:v>
                </c:pt>
                <c:pt idx="23">
                  <c:v>Desember 2023</c:v>
                </c:pt>
                <c:pt idx="24">
                  <c:v>Januari 2024</c:v>
                </c:pt>
                <c:pt idx="25">
                  <c:v>Februari 2024</c:v>
                </c:pt>
                <c:pt idx="26">
                  <c:v>Maret 2024</c:v>
                </c:pt>
                <c:pt idx="27">
                  <c:v>April 2024</c:v>
                </c:pt>
                <c:pt idx="28">
                  <c:v>Mei 2024</c:v>
                </c:pt>
                <c:pt idx="29">
                  <c:v>Juni 2024</c:v>
                </c:pt>
                <c:pt idx="30">
                  <c:v>Juli 2024</c:v>
                </c:pt>
                <c:pt idx="31">
                  <c:v>Agustus 2024</c:v>
                </c:pt>
                <c:pt idx="32">
                  <c:v>September 2024</c:v>
                </c:pt>
              </c:strCache>
            </c:strRef>
          </c:cat>
          <c:val>
            <c:numRef>
              <c:f>'[IHK Medan.xlsx]Sheet1'!$E$2:$E$34</c:f>
              <c:numCache>
                <c:formatCode>General</c:formatCode>
                <c:ptCount val="33"/>
                <c:pt idx="0">
                  <c:v>107.02</c:v>
                </c:pt>
                <c:pt idx="1">
                  <c:v>106.72</c:v>
                </c:pt>
                <c:pt idx="2">
                  <c:v>107.45</c:v>
                </c:pt>
                <c:pt idx="3">
                  <c:v>107.91</c:v>
                </c:pt>
                <c:pt idx="4">
                  <c:v>108.73</c:v>
                </c:pt>
                <c:pt idx="5">
                  <c:v>110.24</c:v>
                </c:pt>
                <c:pt idx="6">
                  <c:v>110.54</c:v>
                </c:pt>
                <c:pt idx="7">
                  <c:v>110.26</c:v>
                </c:pt>
                <c:pt idx="8">
                  <c:v>111.34</c:v>
                </c:pt>
                <c:pt idx="9">
                  <c:v>110.82</c:v>
                </c:pt>
                <c:pt idx="10">
                  <c:v>110.68</c:v>
                </c:pt>
                <c:pt idx="11">
                  <c:v>112.38</c:v>
                </c:pt>
                <c:pt idx="12">
                  <c:v>113.35</c:v>
                </c:pt>
                <c:pt idx="13">
                  <c:v>112.92</c:v>
                </c:pt>
                <c:pt idx="14">
                  <c:v>112.58</c:v>
                </c:pt>
                <c:pt idx="15">
                  <c:v>112.36</c:v>
                </c:pt>
                <c:pt idx="16">
                  <c:v>112.63</c:v>
                </c:pt>
                <c:pt idx="17">
                  <c:v>112.96</c:v>
                </c:pt>
                <c:pt idx="18">
                  <c:v>113.28</c:v>
                </c:pt>
                <c:pt idx="19">
                  <c:v>113.21</c:v>
                </c:pt>
                <c:pt idx="20">
                  <c:v>113.64</c:v>
                </c:pt>
                <c:pt idx="21">
                  <c:v>113.59</c:v>
                </c:pt>
                <c:pt idx="22">
                  <c:v>114.15</c:v>
                </c:pt>
                <c:pt idx="23">
                  <c:v>114.84</c:v>
                </c:pt>
                <c:pt idx="24">
                  <c:v>105.09</c:v>
                </c:pt>
                <c:pt idx="25">
                  <c:v>105.47</c:v>
                </c:pt>
                <c:pt idx="26">
                  <c:v>106.24</c:v>
                </c:pt>
                <c:pt idx="27">
                  <c:v>106.21</c:v>
                </c:pt>
                <c:pt idx="28">
                  <c:v>106.84</c:v>
                </c:pt>
                <c:pt idx="29">
                  <c:v>106.36</c:v>
                </c:pt>
                <c:pt idx="30">
                  <c:v>105.68</c:v>
                </c:pt>
                <c:pt idx="31">
                  <c:v>105.47</c:v>
                </c:pt>
                <c:pt idx="32">
                  <c:v>105.29</c:v>
                </c:pt>
              </c:numCache>
            </c:numRef>
          </c:val>
          <c:smooth val="0"/>
          <c:extLst>
            <c:ext xmlns:c16="http://schemas.microsoft.com/office/drawing/2014/chart" uri="{C3380CC4-5D6E-409C-BE32-E72D297353CC}">
              <c16:uniqueId val="{00000000-0C30-4CB6-BC98-80FBD5FAEB43}"/>
            </c:ext>
          </c:extLst>
        </c:ser>
        <c:dLbls>
          <c:showLegendKey val="0"/>
          <c:showVal val="0"/>
          <c:showCatName val="0"/>
          <c:showSerName val="0"/>
          <c:showPercent val="0"/>
          <c:showBubbleSize val="0"/>
        </c:dLbls>
        <c:smooth val="0"/>
        <c:axId val="1927575039"/>
        <c:axId val="1927575519"/>
      </c:lineChart>
      <c:catAx>
        <c:axId val="19275750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Periode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575519"/>
        <c:crosses val="autoZero"/>
        <c:auto val="1"/>
        <c:lblAlgn val="ctr"/>
        <c:lblOffset val="100"/>
        <c:noMultiLvlLbl val="0"/>
      </c:catAx>
      <c:valAx>
        <c:axId val="19275755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IHK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5750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'[IHK Medan.xlsx]Sheet1'!$F$1</c:f>
              <c:strCache>
                <c:ptCount val="1"/>
                <c:pt idx="0">
                  <c:v>Pertumbuhan Inflasi</c:v>
                </c:pt>
              </c:strCache>
            </c:strRef>
          </c:tx>
          <c:spPr>
            <a:ln w="28575" cap="rnd">
              <a:solidFill>
                <a:schemeClr val="accent1"/>
              </a:solidFill>
              <a:round/>
            </a:ln>
            <a:effectLst/>
          </c:spPr>
          <c:marker>
            <c:symbol val="none"/>
          </c:marker>
          <c:cat>
            <c:strRef>
              <c:f>'[IHK Medan.xlsx]Sheet1'!$D$2:$D$34</c:f>
              <c:strCache>
                <c:ptCount val="33"/>
                <c:pt idx="0">
                  <c:v>Januari 2022</c:v>
                </c:pt>
                <c:pt idx="1">
                  <c:v>Februari 2022</c:v>
                </c:pt>
                <c:pt idx="2">
                  <c:v>Maret 2022</c:v>
                </c:pt>
                <c:pt idx="3">
                  <c:v>April 2022</c:v>
                </c:pt>
                <c:pt idx="4">
                  <c:v>Mei 2022</c:v>
                </c:pt>
                <c:pt idx="5">
                  <c:v>Juni 2022</c:v>
                </c:pt>
                <c:pt idx="6">
                  <c:v>Juli 2022</c:v>
                </c:pt>
                <c:pt idx="7">
                  <c:v>Agustus 2022</c:v>
                </c:pt>
                <c:pt idx="8">
                  <c:v>September 2022</c:v>
                </c:pt>
                <c:pt idx="9">
                  <c:v>Oktober 2022</c:v>
                </c:pt>
                <c:pt idx="10">
                  <c:v>November 2022</c:v>
                </c:pt>
                <c:pt idx="11">
                  <c:v>Desember 2022</c:v>
                </c:pt>
                <c:pt idx="12">
                  <c:v>Januari 2023</c:v>
                </c:pt>
                <c:pt idx="13">
                  <c:v>Februari 2023</c:v>
                </c:pt>
                <c:pt idx="14">
                  <c:v>Maret 2023</c:v>
                </c:pt>
                <c:pt idx="15">
                  <c:v>April 2023</c:v>
                </c:pt>
                <c:pt idx="16">
                  <c:v>Mei 2023</c:v>
                </c:pt>
                <c:pt idx="17">
                  <c:v>Juni 2023</c:v>
                </c:pt>
                <c:pt idx="18">
                  <c:v>Juli 2023</c:v>
                </c:pt>
                <c:pt idx="19">
                  <c:v>Agustus 2023</c:v>
                </c:pt>
                <c:pt idx="20">
                  <c:v>September 2023</c:v>
                </c:pt>
                <c:pt idx="21">
                  <c:v>Oktober 2023</c:v>
                </c:pt>
                <c:pt idx="22">
                  <c:v>November 2023</c:v>
                </c:pt>
                <c:pt idx="23">
                  <c:v>Desember 2023</c:v>
                </c:pt>
                <c:pt idx="24">
                  <c:v>Januari 2024</c:v>
                </c:pt>
                <c:pt idx="25">
                  <c:v>Februari 2024</c:v>
                </c:pt>
                <c:pt idx="26">
                  <c:v>Maret 2024</c:v>
                </c:pt>
                <c:pt idx="27">
                  <c:v>April 2024</c:v>
                </c:pt>
                <c:pt idx="28">
                  <c:v>Mei 2024</c:v>
                </c:pt>
                <c:pt idx="29">
                  <c:v>Juni 2024</c:v>
                </c:pt>
                <c:pt idx="30">
                  <c:v>Juli 2024</c:v>
                </c:pt>
                <c:pt idx="31">
                  <c:v>Agustus 2024</c:v>
                </c:pt>
                <c:pt idx="32">
                  <c:v>September 2024</c:v>
                </c:pt>
              </c:strCache>
            </c:strRef>
          </c:cat>
          <c:val>
            <c:numRef>
              <c:f>'[IHK Medan.xlsx]Sheet1'!$F$2:$F$34</c:f>
              <c:numCache>
                <c:formatCode>General</c:formatCode>
                <c:ptCount val="33"/>
                <c:pt idx="0">
                  <c:v>1.04</c:v>
                </c:pt>
                <c:pt idx="1">
                  <c:v>-0.28000000000000003</c:v>
                </c:pt>
                <c:pt idx="2">
                  <c:v>0.68</c:v>
                </c:pt>
                <c:pt idx="3">
                  <c:v>0.43</c:v>
                </c:pt>
                <c:pt idx="4">
                  <c:v>0.76</c:v>
                </c:pt>
                <c:pt idx="5">
                  <c:v>1.39</c:v>
                </c:pt>
                <c:pt idx="6">
                  <c:v>0.27</c:v>
                </c:pt>
                <c:pt idx="7">
                  <c:v>-0.25</c:v>
                </c:pt>
                <c:pt idx="8">
                  <c:v>0.98</c:v>
                </c:pt>
                <c:pt idx="9">
                  <c:v>-0.47</c:v>
                </c:pt>
                <c:pt idx="10">
                  <c:v>-0.13</c:v>
                </c:pt>
                <c:pt idx="11">
                  <c:v>1.54</c:v>
                </c:pt>
                <c:pt idx="12">
                  <c:v>6.1</c:v>
                </c:pt>
                <c:pt idx="13">
                  <c:v>0.86</c:v>
                </c:pt>
                <c:pt idx="14">
                  <c:v>-0.38</c:v>
                </c:pt>
                <c:pt idx="15">
                  <c:v>-0.3</c:v>
                </c:pt>
                <c:pt idx="16">
                  <c:v>-0.2</c:v>
                </c:pt>
                <c:pt idx="17">
                  <c:v>0.24</c:v>
                </c:pt>
                <c:pt idx="18">
                  <c:v>0.28999999999999998</c:v>
                </c:pt>
                <c:pt idx="19">
                  <c:v>0.28000000000000003</c:v>
                </c:pt>
                <c:pt idx="20">
                  <c:v>-0.06</c:v>
                </c:pt>
                <c:pt idx="21">
                  <c:v>0.38</c:v>
                </c:pt>
                <c:pt idx="22">
                  <c:v>-0.04</c:v>
                </c:pt>
                <c:pt idx="23">
                  <c:v>0.49</c:v>
                </c:pt>
                <c:pt idx="24">
                  <c:v>0.6</c:v>
                </c:pt>
                <c:pt idx="25">
                  <c:v>2.19</c:v>
                </c:pt>
                <c:pt idx="26">
                  <c:v>0.52</c:v>
                </c:pt>
                <c:pt idx="27">
                  <c:v>0.36</c:v>
                </c:pt>
                <c:pt idx="28">
                  <c:v>0.73</c:v>
                </c:pt>
                <c:pt idx="29">
                  <c:v>-0.03</c:v>
                </c:pt>
                <c:pt idx="30">
                  <c:v>0.59</c:v>
                </c:pt>
                <c:pt idx="31">
                  <c:v>-0.45</c:v>
                </c:pt>
                <c:pt idx="32">
                  <c:v>-0.64</c:v>
                </c:pt>
              </c:numCache>
            </c:numRef>
          </c:val>
          <c:smooth val="0"/>
          <c:extLst>
            <c:ext xmlns:c16="http://schemas.microsoft.com/office/drawing/2014/chart" uri="{C3380CC4-5D6E-409C-BE32-E72D297353CC}">
              <c16:uniqueId val="{00000000-9C69-4C49-A06E-4B2A3E22C938}"/>
            </c:ext>
          </c:extLst>
        </c:ser>
        <c:dLbls>
          <c:showLegendKey val="0"/>
          <c:showVal val="0"/>
          <c:showCatName val="0"/>
          <c:showSerName val="0"/>
          <c:showPercent val="0"/>
          <c:showBubbleSize val="0"/>
        </c:dLbls>
        <c:smooth val="0"/>
        <c:axId val="1927571199"/>
        <c:axId val="1927583679"/>
      </c:lineChart>
      <c:catAx>
        <c:axId val="19275711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Periode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583679"/>
        <c:crosses val="autoZero"/>
        <c:auto val="1"/>
        <c:lblAlgn val="ctr"/>
        <c:lblOffset val="100"/>
        <c:noMultiLvlLbl val="0"/>
      </c:catAx>
      <c:valAx>
        <c:axId val="1927583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Pertumbuhan</a:t>
                </a:r>
                <a:r>
                  <a:rPr lang="en-US" baseline="0"/>
                  <a:t> Inflasi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571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HUAWEI</cp:lastModifiedBy>
  <cp:revision>2</cp:revision>
  <dcterms:created xsi:type="dcterms:W3CDTF">2025-03-28T06:09:00Z</dcterms:created>
  <dcterms:modified xsi:type="dcterms:W3CDTF">2025-03-28T06:09:00Z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